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70F3" w14:textId="30D293BE" w:rsidR="00380966" w:rsidRPr="008921DD" w:rsidRDefault="002D16A9" w:rsidP="002A3808">
      <w:pPr>
        <w:jc w:val="center"/>
        <w:rPr>
          <w:sz w:val="40"/>
          <w:lang w:val="es-MX"/>
        </w:rPr>
      </w:pPr>
      <w:r w:rsidRPr="008921DD">
        <w:rPr>
          <w:sz w:val="40"/>
          <w:lang w:val="es-MX"/>
        </w:rPr>
        <w:t xml:space="preserve">Global PaedSurg </w:t>
      </w:r>
      <w:r w:rsidR="003F69EB" w:rsidRPr="008921DD">
        <w:rPr>
          <w:sz w:val="40"/>
          <w:lang w:val="es-MX"/>
        </w:rPr>
        <w:t>Fellowship en Entrenamiento en Investigación</w:t>
      </w:r>
    </w:p>
    <w:p w14:paraId="7725AC0D" w14:textId="2B88AE34" w:rsidR="002A3808" w:rsidRPr="008921DD" w:rsidRDefault="002A3808" w:rsidP="002A3808">
      <w:pPr>
        <w:jc w:val="center"/>
        <w:rPr>
          <w:lang w:val="es-MX"/>
        </w:rPr>
      </w:pPr>
      <w:r w:rsidRPr="008921DD">
        <w:rPr>
          <w:noProof/>
          <w:lang w:val="es-MX"/>
        </w:rPr>
        <w:drawing>
          <wp:inline distT="0" distB="0" distL="0" distR="0" wp14:anchorId="7FA18FCD" wp14:editId="153A47DA">
            <wp:extent cx="3382503" cy="2202180"/>
            <wp:effectExtent l="0" t="0" r="8890" b="7620"/>
            <wp:docPr id="15" name="Content Placeholder 3">
              <a:extLst xmlns:a="http://schemas.openxmlformats.org/drawingml/2006/main">
                <a:ext uri="{FF2B5EF4-FFF2-40B4-BE49-F238E27FC236}">
                  <a16:creationId xmlns:a16="http://schemas.microsoft.com/office/drawing/2014/main" id="{8420AB96-200C-B44E-8332-08643A153A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nt Placeholder 3">
                      <a:extLst>
                        <a:ext uri="{FF2B5EF4-FFF2-40B4-BE49-F238E27FC236}">
                          <a16:creationId xmlns:a16="http://schemas.microsoft.com/office/drawing/2014/main" id="{8420AB96-200C-B44E-8332-08643A153AB3}"/>
                        </a:ext>
                      </a:extLst>
                    </pic:cNvPr>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3422656" cy="2228322"/>
                    </a:xfrm>
                    <a:prstGeom prst="rect">
                      <a:avLst/>
                    </a:prstGeom>
                  </pic:spPr>
                </pic:pic>
              </a:graphicData>
            </a:graphic>
          </wp:inline>
        </w:drawing>
      </w:r>
    </w:p>
    <w:p w14:paraId="358FD2B7" w14:textId="7E36F169" w:rsidR="002A3808" w:rsidRPr="008921DD" w:rsidRDefault="003F69EB" w:rsidP="002A3808">
      <w:pPr>
        <w:jc w:val="center"/>
        <w:rPr>
          <w:b/>
          <w:sz w:val="32"/>
          <w:lang w:val="es-MX"/>
        </w:rPr>
      </w:pPr>
      <w:r w:rsidRPr="008921DD">
        <w:rPr>
          <w:b/>
          <w:sz w:val="32"/>
          <w:lang w:val="es-MX"/>
        </w:rPr>
        <w:t>Sesión</w:t>
      </w:r>
      <w:r w:rsidR="002A3808" w:rsidRPr="008921DD">
        <w:rPr>
          <w:b/>
          <w:sz w:val="32"/>
          <w:lang w:val="es-MX"/>
        </w:rPr>
        <w:t xml:space="preserve"> 3: </w:t>
      </w:r>
      <w:r w:rsidRPr="008921DD">
        <w:rPr>
          <w:b/>
          <w:sz w:val="32"/>
          <w:lang w:val="es-MX"/>
        </w:rPr>
        <w:t>enero 25, 2019</w:t>
      </w:r>
    </w:p>
    <w:p w14:paraId="3AC4B5C9" w14:textId="1CD84767" w:rsidR="00BB78C7" w:rsidRPr="008921DD" w:rsidRDefault="003F69EB" w:rsidP="002A3808">
      <w:pPr>
        <w:jc w:val="center"/>
        <w:rPr>
          <w:b/>
          <w:sz w:val="32"/>
          <w:lang w:val="es-MX"/>
        </w:rPr>
      </w:pPr>
      <w:r w:rsidRPr="008921DD">
        <w:rPr>
          <w:b/>
          <w:sz w:val="32"/>
          <w:lang w:val="es-MX"/>
        </w:rPr>
        <w:t xml:space="preserve">Consideraciones Éticas, obtención de aprobación para el estudio y </w:t>
      </w:r>
      <w:r w:rsidR="000B7DB6" w:rsidRPr="008921DD">
        <w:rPr>
          <w:b/>
          <w:sz w:val="32"/>
          <w:lang w:val="es-MX"/>
        </w:rPr>
        <w:t>obtención del</w:t>
      </w:r>
      <w:r w:rsidRPr="008921DD">
        <w:rPr>
          <w:b/>
          <w:sz w:val="32"/>
          <w:lang w:val="es-MX"/>
        </w:rPr>
        <w:t xml:space="preserve"> consentimiento del paciente. </w:t>
      </w:r>
    </w:p>
    <w:p w14:paraId="31212C1B" w14:textId="07342413" w:rsidR="00BB78C7" w:rsidRPr="008921DD" w:rsidRDefault="003F69EB" w:rsidP="002A3808">
      <w:pPr>
        <w:jc w:val="center"/>
        <w:rPr>
          <w:b/>
          <w:sz w:val="32"/>
          <w:lang w:val="es-MX"/>
        </w:rPr>
      </w:pPr>
      <w:r w:rsidRPr="008921DD">
        <w:rPr>
          <w:b/>
          <w:sz w:val="32"/>
          <w:lang w:val="es-MX"/>
        </w:rPr>
        <w:t>Por el p</w:t>
      </w:r>
      <w:r w:rsidR="00BB78C7" w:rsidRPr="008921DD">
        <w:rPr>
          <w:b/>
          <w:sz w:val="32"/>
          <w:lang w:val="es-MX"/>
        </w:rPr>
        <w:t>rofesor Lars Hagander</w:t>
      </w:r>
      <w:r w:rsidR="00442C21" w:rsidRPr="008921DD">
        <w:rPr>
          <w:b/>
          <w:sz w:val="32"/>
          <w:lang w:val="es-MX"/>
        </w:rPr>
        <w:t xml:space="preserve"> (Lund University, </w:t>
      </w:r>
      <w:r w:rsidRPr="008921DD">
        <w:rPr>
          <w:b/>
          <w:sz w:val="32"/>
          <w:lang w:val="es-MX"/>
        </w:rPr>
        <w:t>Suecia</w:t>
      </w:r>
      <w:r w:rsidR="00442C21" w:rsidRPr="008921DD">
        <w:rPr>
          <w:b/>
          <w:sz w:val="32"/>
          <w:lang w:val="es-MX"/>
        </w:rPr>
        <w:t>)</w:t>
      </w:r>
    </w:p>
    <w:p w14:paraId="78C3DF5A" w14:textId="0D5C7842" w:rsidR="00BB78C7" w:rsidRPr="008921DD" w:rsidRDefault="00BB78C7">
      <w:pPr>
        <w:rPr>
          <w:lang w:val="es-MX"/>
        </w:rPr>
      </w:pPr>
    </w:p>
    <w:p w14:paraId="612438C2" w14:textId="429A2910" w:rsidR="002A3808" w:rsidRPr="008921DD" w:rsidRDefault="003F69EB">
      <w:pPr>
        <w:rPr>
          <w:lang w:val="es-MX"/>
        </w:rPr>
      </w:pPr>
      <w:r w:rsidRPr="008921DD">
        <w:rPr>
          <w:lang w:val="es-MX"/>
        </w:rPr>
        <w:t>Visión General de la Sesión</w:t>
      </w:r>
    </w:p>
    <w:p w14:paraId="49C0BC22" w14:textId="77777777" w:rsidR="002A3808" w:rsidRPr="008921DD" w:rsidRDefault="002A3808">
      <w:pPr>
        <w:rPr>
          <w:lang w:val="es-MX"/>
        </w:rPr>
      </w:pPr>
    </w:p>
    <w:p w14:paraId="3C4669BC" w14:textId="2F262AF2" w:rsidR="00803170" w:rsidRPr="008921DD" w:rsidRDefault="003F69EB" w:rsidP="00803170">
      <w:pPr>
        <w:rPr>
          <w:b/>
          <w:lang w:val="es-MX"/>
        </w:rPr>
      </w:pPr>
      <w:r w:rsidRPr="008921DD">
        <w:rPr>
          <w:b/>
          <w:lang w:val="es-MX"/>
        </w:rPr>
        <w:t>Consideraciones Éticas</w:t>
      </w:r>
      <w:r w:rsidR="00380966" w:rsidRPr="008921DD">
        <w:rPr>
          <w:b/>
          <w:lang w:val="es-MX"/>
        </w:rPr>
        <w:t xml:space="preserve">: </w:t>
      </w:r>
    </w:p>
    <w:p w14:paraId="366B46B9" w14:textId="664A6179" w:rsidR="00803170" w:rsidRPr="008921DD" w:rsidRDefault="003F69EB" w:rsidP="00803170">
      <w:pPr>
        <w:rPr>
          <w:lang w:val="es-MX"/>
        </w:rPr>
      </w:pPr>
      <w:r w:rsidRPr="008921DD">
        <w:rPr>
          <w:lang w:val="es-MX"/>
        </w:rPr>
        <w:t>Antecedentes Históricos</w:t>
      </w:r>
      <w:r w:rsidR="00803170" w:rsidRPr="008921DD">
        <w:rPr>
          <w:lang w:val="es-MX"/>
        </w:rPr>
        <w:t xml:space="preserve">, </w:t>
      </w:r>
    </w:p>
    <w:p w14:paraId="324B795A" w14:textId="4E8A5DCF" w:rsidR="00C634D8" w:rsidRPr="008921DD" w:rsidRDefault="003F69EB" w:rsidP="00803170">
      <w:pPr>
        <w:rPr>
          <w:lang w:val="es-MX"/>
        </w:rPr>
      </w:pPr>
      <w:r w:rsidRPr="008921DD">
        <w:rPr>
          <w:lang w:val="es-MX"/>
        </w:rPr>
        <w:t>Resoluciones Guía</w:t>
      </w:r>
      <w:r w:rsidR="00803170" w:rsidRPr="008921DD">
        <w:rPr>
          <w:lang w:val="es-MX"/>
        </w:rPr>
        <w:t xml:space="preserve">, </w:t>
      </w:r>
    </w:p>
    <w:p w14:paraId="11E21E13" w14:textId="2D3DBBE5" w:rsidR="00380966" w:rsidRPr="008921DD" w:rsidRDefault="003F69EB" w:rsidP="00803170">
      <w:pPr>
        <w:rPr>
          <w:lang w:val="es-MX"/>
        </w:rPr>
      </w:pPr>
      <w:r w:rsidRPr="008921DD">
        <w:rPr>
          <w:lang w:val="es-MX"/>
        </w:rPr>
        <w:t>Principios Éticos</w:t>
      </w:r>
    </w:p>
    <w:p w14:paraId="4CE26B57" w14:textId="77777777" w:rsidR="00803170" w:rsidRPr="008921DD" w:rsidRDefault="00803170" w:rsidP="00803170">
      <w:pPr>
        <w:rPr>
          <w:lang w:val="es-MX"/>
        </w:rPr>
      </w:pPr>
    </w:p>
    <w:p w14:paraId="3BFCD2F5" w14:textId="345E1709" w:rsidR="00803170" w:rsidRPr="008921DD" w:rsidRDefault="003F69EB" w:rsidP="00803170">
      <w:pPr>
        <w:rPr>
          <w:b/>
          <w:lang w:val="es-MX"/>
        </w:rPr>
      </w:pPr>
      <w:r w:rsidRPr="008921DD">
        <w:rPr>
          <w:b/>
          <w:lang w:val="es-MX"/>
        </w:rPr>
        <w:t>Aprobación del estudio y consentimiento</w:t>
      </w:r>
      <w:r w:rsidR="00803170" w:rsidRPr="008921DD">
        <w:rPr>
          <w:b/>
          <w:lang w:val="es-MX"/>
        </w:rPr>
        <w:t xml:space="preserve">: </w:t>
      </w:r>
    </w:p>
    <w:p w14:paraId="61342574" w14:textId="45E65987" w:rsidR="003F69EB" w:rsidRPr="008921DD" w:rsidRDefault="003F69EB" w:rsidP="00803170">
      <w:pPr>
        <w:rPr>
          <w:lang w:val="es-MX"/>
        </w:rPr>
      </w:pPr>
      <w:r w:rsidRPr="008921DD">
        <w:rPr>
          <w:lang w:val="es-MX"/>
        </w:rPr>
        <w:t>Responsabilidad de los investigadores y comités de revisión de ética</w:t>
      </w:r>
      <w:r w:rsidR="00803170" w:rsidRPr="008921DD">
        <w:rPr>
          <w:lang w:val="es-MX"/>
        </w:rPr>
        <w:t>;</w:t>
      </w:r>
    </w:p>
    <w:p w14:paraId="448D73E0" w14:textId="6D0687C7" w:rsidR="00380966" w:rsidRPr="008921DD" w:rsidRDefault="003F69EB">
      <w:pPr>
        <w:rPr>
          <w:lang w:val="es-MX"/>
        </w:rPr>
      </w:pPr>
      <w:r w:rsidRPr="008921DD">
        <w:rPr>
          <w:lang w:val="es-MX"/>
        </w:rPr>
        <w:t>Consentimiento de los padres y de los niños</w:t>
      </w:r>
    </w:p>
    <w:p w14:paraId="32CAB7E1" w14:textId="12A70EBF" w:rsidR="00380966" w:rsidRPr="008921DD" w:rsidRDefault="00380966">
      <w:pPr>
        <w:rPr>
          <w:lang w:val="es-MX"/>
        </w:rPr>
      </w:pPr>
    </w:p>
    <w:p w14:paraId="11CCEDAA" w14:textId="77777777" w:rsidR="002A3808" w:rsidRPr="008921DD" w:rsidRDefault="002A3808">
      <w:pPr>
        <w:rPr>
          <w:lang w:val="es-MX"/>
        </w:rPr>
      </w:pPr>
    </w:p>
    <w:p w14:paraId="2DED6844" w14:textId="229EF911" w:rsidR="002B66FE" w:rsidRPr="008921DD" w:rsidRDefault="000B7DB6">
      <w:pPr>
        <w:rPr>
          <w:lang w:val="es-MX"/>
        </w:rPr>
      </w:pPr>
      <w:r w:rsidRPr="008921DD">
        <w:rPr>
          <w:lang w:val="es-MX"/>
        </w:rPr>
        <w:t>Objetivos de Aprendizaje</w:t>
      </w:r>
    </w:p>
    <w:p w14:paraId="6634FECC" w14:textId="1B1D435E" w:rsidR="00380966" w:rsidRPr="008921DD" w:rsidRDefault="000B7DB6" w:rsidP="00803170">
      <w:pPr>
        <w:pStyle w:val="ListParagraph"/>
        <w:numPr>
          <w:ilvl w:val="0"/>
          <w:numId w:val="4"/>
        </w:numPr>
        <w:rPr>
          <w:lang w:val="es-MX"/>
        </w:rPr>
      </w:pPr>
      <w:r w:rsidRPr="008921DD">
        <w:rPr>
          <w:lang w:val="es-MX"/>
        </w:rPr>
        <w:t xml:space="preserve">Reconocer </w:t>
      </w:r>
      <w:r w:rsidR="00CA7447" w:rsidRPr="008921DD">
        <w:rPr>
          <w:lang w:val="es-MX"/>
        </w:rPr>
        <w:t>aspectos éticos</w:t>
      </w:r>
    </w:p>
    <w:p w14:paraId="1A1FC3C9" w14:textId="6C214978" w:rsidR="00380966" w:rsidRPr="008921DD" w:rsidRDefault="00CA7447" w:rsidP="00803170">
      <w:pPr>
        <w:pStyle w:val="ListParagraph"/>
        <w:numPr>
          <w:ilvl w:val="0"/>
          <w:numId w:val="4"/>
        </w:numPr>
        <w:rPr>
          <w:lang w:val="es-MX"/>
        </w:rPr>
      </w:pPr>
      <w:r w:rsidRPr="008921DD">
        <w:rPr>
          <w:lang w:val="es-MX"/>
        </w:rPr>
        <w:t>Identificar regulaciones</w:t>
      </w:r>
    </w:p>
    <w:p w14:paraId="4FA6AA2B" w14:textId="095ED084" w:rsidR="00380966" w:rsidRPr="008921DD" w:rsidRDefault="00CA7447" w:rsidP="00803170">
      <w:pPr>
        <w:pStyle w:val="ListParagraph"/>
        <w:numPr>
          <w:ilvl w:val="0"/>
          <w:numId w:val="4"/>
        </w:numPr>
        <w:rPr>
          <w:lang w:val="es-MX"/>
        </w:rPr>
      </w:pPr>
      <w:r w:rsidRPr="008921DD">
        <w:rPr>
          <w:lang w:val="es-MX"/>
        </w:rPr>
        <w:t>Definir principios</w:t>
      </w:r>
    </w:p>
    <w:p w14:paraId="47DB1DA5" w14:textId="0AF79307" w:rsidR="00380966" w:rsidRPr="008921DD" w:rsidRDefault="00CA7447" w:rsidP="00803170">
      <w:pPr>
        <w:pStyle w:val="ListParagraph"/>
        <w:numPr>
          <w:ilvl w:val="0"/>
          <w:numId w:val="4"/>
        </w:numPr>
        <w:rPr>
          <w:lang w:val="es-MX"/>
        </w:rPr>
      </w:pPr>
      <w:r w:rsidRPr="008921DD">
        <w:rPr>
          <w:lang w:val="es-MX"/>
        </w:rPr>
        <w:t>Describir Consentimiento</w:t>
      </w:r>
    </w:p>
    <w:p w14:paraId="3C0D1D9B" w14:textId="293EC0B9" w:rsidR="00380966" w:rsidRPr="008921DD" w:rsidRDefault="00CA7447" w:rsidP="00803170">
      <w:pPr>
        <w:pStyle w:val="ListParagraph"/>
        <w:numPr>
          <w:ilvl w:val="0"/>
          <w:numId w:val="4"/>
        </w:numPr>
        <w:rPr>
          <w:lang w:val="es-MX"/>
        </w:rPr>
      </w:pPr>
      <w:r w:rsidRPr="008921DD">
        <w:rPr>
          <w:lang w:val="es-MX"/>
        </w:rPr>
        <w:t>Ángulos pediátricos</w:t>
      </w:r>
    </w:p>
    <w:p w14:paraId="489E5AB4" w14:textId="6F9C2CDE" w:rsidR="00380966" w:rsidRPr="008921DD" w:rsidRDefault="00CA7447" w:rsidP="00380966">
      <w:pPr>
        <w:pStyle w:val="ListParagraph"/>
        <w:numPr>
          <w:ilvl w:val="0"/>
          <w:numId w:val="4"/>
        </w:numPr>
        <w:rPr>
          <w:lang w:val="es-MX"/>
        </w:rPr>
      </w:pPr>
      <w:r w:rsidRPr="008921DD">
        <w:rPr>
          <w:lang w:val="es-MX"/>
        </w:rPr>
        <w:t xml:space="preserve">Describir CEI </w:t>
      </w:r>
      <w:r w:rsidR="002A3808" w:rsidRPr="008921DD">
        <w:rPr>
          <w:lang w:val="es-MX"/>
        </w:rPr>
        <w:t>(</w:t>
      </w:r>
      <w:r w:rsidR="00696CB9" w:rsidRPr="008921DD">
        <w:rPr>
          <w:lang w:val="es-MX"/>
        </w:rPr>
        <w:t>Comité</w:t>
      </w:r>
      <w:r w:rsidRPr="008921DD">
        <w:rPr>
          <w:lang w:val="es-MX"/>
        </w:rPr>
        <w:t xml:space="preserve"> de Ética </w:t>
      </w:r>
      <w:r w:rsidR="003F2436" w:rsidRPr="008921DD">
        <w:rPr>
          <w:lang w:val="es-MX"/>
        </w:rPr>
        <w:t>Institucional</w:t>
      </w:r>
      <w:r w:rsidR="002A3808" w:rsidRPr="008921DD">
        <w:rPr>
          <w:lang w:val="es-MX"/>
        </w:rPr>
        <w:t>)</w:t>
      </w:r>
    </w:p>
    <w:p w14:paraId="7F766A84" w14:textId="77777777" w:rsidR="002D2510" w:rsidRPr="008921DD" w:rsidRDefault="002D2510" w:rsidP="002D2510">
      <w:pPr>
        <w:rPr>
          <w:lang w:val="es-MX"/>
        </w:rPr>
      </w:pPr>
    </w:p>
    <w:p w14:paraId="03E83733" w14:textId="46C744C1" w:rsidR="002A3808" w:rsidRPr="008921DD" w:rsidRDefault="00CA7447" w:rsidP="00380966">
      <w:pPr>
        <w:rPr>
          <w:u w:val="single"/>
          <w:lang w:val="es-MX"/>
        </w:rPr>
      </w:pPr>
      <w:r w:rsidRPr="008921DD">
        <w:rPr>
          <w:u w:val="single"/>
          <w:lang w:val="es-MX"/>
        </w:rPr>
        <w:t>¿Por qué todo esto es necesario?</w:t>
      </w:r>
    </w:p>
    <w:p w14:paraId="54D0F06A" w14:textId="1C6B1335" w:rsidR="00CA7447" w:rsidRPr="008921DD" w:rsidRDefault="00CA7447" w:rsidP="00CA7447">
      <w:pPr>
        <w:spacing w:line="259" w:lineRule="auto"/>
        <w:jc w:val="both"/>
        <w:rPr>
          <w:lang w:val="es-MX"/>
        </w:rPr>
      </w:pPr>
      <w:r w:rsidRPr="008921DD">
        <w:rPr>
          <w:lang w:val="es-MX"/>
        </w:rPr>
        <w:t>El advenimiento de una conducta estricta en la investigación se debe a que los abusos históricos en muchos países se han producido bajo el nombre de investigación, también asociados con la explotación humana y lesiones, así como resultados falsos publicados por los investigadores.</w:t>
      </w:r>
    </w:p>
    <w:p w14:paraId="65CC9FC1" w14:textId="7928F0FC" w:rsidR="009D3914" w:rsidRPr="008921DD" w:rsidRDefault="00CA7447" w:rsidP="00CA7447">
      <w:pPr>
        <w:spacing w:line="259" w:lineRule="auto"/>
        <w:jc w:val="both"/>
        <w:rPr>
          <w:lang w:val="es-MX"/>
        </w:rPr>
      </w:pPr>
      <w:r w:rsidRPr="008921DD">
        <w:rPr>
          <w:lang w:val="es-MX"/>
        </w:rPr>
        <w:t>La mala conducta de la investigación nos ha puesto a todos en riesgo de la desgracia asociada con ella. Podemos ser presa de las arreglos de carrera e incitación, la velocidad, la visión de túnel, la deshumanización, la indiferencia, la ignorancia y la falta de supervisión y control.</w:t>
      </w:r>
    </w:p>
    <w:p w14:paraId="6CCA61FC" w14:textId="77777777" w:rsidR="00CA7447" w:rsidRPr="008921DD" w:rsidRDefault="00CA7447" w:rsidP="00380966">
      <w:pPr>
        <w:rPr>
          <w:u w:val="single"/>
          <w:lang w:val="es-MX"/>
        </w:rPr>
      </w:pPr>
    </w:p>
    <w:p w14:paraId="645D0E5D" w14:textId="24613321" w:rsidR="002A3808" w:rsidRPr="008921DD" w:rsidRDefault="00CA7447" w:rsidP="00380966">
      <w:pPr>
        <w:rPr>
          <w:u w:val="single"/>
          <w:lang w:val="es-MX"/>
        </w:rPr>
      </w:pPr>
      <w:r w:rsidRPr="008921DD">
        <w:rPr>
          <w:u w:val="single"/>
          <w:lang w:val="es-MX"/>
        </w:rPr>
        <w:t>El Código de Nuremberg</w:t>
      </w:r>
    </w:p>
    <w:p w14:paraId="26DA7770" w14:textId="0C2EC945" w:rsidR="00C52371" w:rsidRPr="008921DD" w:rsidRDefault="00CA7447" w:rsidP="00CA7447">
      <w:pPr>
        <w:jc w:val="both"/>
        <w:rPr>
          <w:lang w:val="es-MX"/>
        </w:rPr>
      </w:pPr>
      <w:r w:rsidRPr="008921DD">
        <w:rPr>
          <w:lang w:val="es-MX"/>
        </w:rPr>
        <w:t xml:space="preserve">Establecido durante los Juicios de Nuremberg </w:t>
      </w:r>
      <w:r w:rsidR="002A3808" w:rsidRPr="008921DD">
        <w:rPr>
          <w:lang w:val="es-MX"/>
        </w:rPr>
        <w:t>(</w:t>
      </w:r>
      <w:r w:rsidR="005E0C1B" w:rsidRPr="008921DD">
        <w:rPr>
          <w:lang w:val="es-MX"/>
        </w:rPr>
        <w:t>1947</w:t>
      </w:r>
      <w:r w:rsidR="002A3808" w:rsidRPr="008921DD">
        <w:rPr>
          <w:lang w:val="es-MX"/>
        </w:rPr>
        <w:t>)</w:t>
      </w:r>
      <w:r w:rsidR="00AE4A95" w:rsidRPr="008921DD">
        <w:rPr>
          <w:lang w:val="es-MX"/>
        </w:rPr>
        <w:t xml:space="preserve">, </w:t>
      </w:r>
      <w:r w:rsidRPr="008921DD">
        <w:rPr>
          <w:lang w:val="es-MX"/>
        </w:rPr>
        <w:t>en respuesta a las atrocidades perpetrados por investigadores Nazis. Este código postula 10 principios éticos, incluyendo:</w:t>
      </w:r>
    </w:p>
    <w:p w14:paraId="1661CCEB" w14:textId="63A7531C" w:rsidR="00C52371" w:rsidRPr="008921DD" w:rsidRDefault="00CA7447" w:rsidP="002A3808">
      <w:pPr>
        <w:pStyle w:val="ListParagraph"/>
        <w:numPr>
          <w:ilvl w:val="0"/>
          <w:numId w:val="5"/>
        </w:numPr>
        <w:rPr>
          <w:lang w:val="es-MX"/>
        </w:rPr>
      </w:pPr>
      <w:r w:rsidRPr="008921DD">
        <w:rPr>
          <w:lang w:val="es-MX"/>
        </w:rPr>
        <w:t>Participación Voluntaria todo el tiempo</w:t>
      </w:r>
      <w:r w:rsidR="005E0C1B" w:rsidRPr="008921DD">
        <w:rPr>
          <w:lang w:val="es-MX"/>
        </w:rPr>
        <w:t xml:space="preserve"> </w:t>
      </w:r>
    </w:p>
    <w:p w14:paraId="449031C2" w14:textId="303392D6" w:rsidR="00C52371" w:rsidRPr="008921DD" w:rsidRDefault="00CA7447" w:rsidP="002A3808">
      <w:pPr>
        <w:pStyle w:val="ListParagraph"/>
        <w:numPr>
          <w:ilvl w:val="0"/>
          <w:numId w:val="5"/>
        </w:numPr>
        <w:rPr>
          <w:lang w:val="es-MX"/>
        </w:rPr>
      </w:pPr>
      <w:r w:rsidRPr="008921DD">
        <w:rPr>
          <w:lang w:val="es-MX"/>
        </w:rPr>
        <w:t>Consentimiento informado</w:t>
      </w:r>
    </w:p>
    <w:p w14:paraId="1B0AE3E7" w14:textId="018BCC40" w:rsidR="00C52371" w:rsidRPr="008921DD" w:rsidRDefault="00CA7447" w:rsidP="002A3808">
      <w:pPr>
        <w:pStyle w:val="ListParagraph"/>
        <w:numPr>
          <w:ilvl w:val="0"/>
          <w:numId w:val="5"/>
        </w:numPr>
        <w:rPr>
          <w:lang w:val="es-MX"/>
        </w:rPr>
      </w:pPr>
      <w:r w:rsidRPr="008921DD">
        <w:rPr>
          <w:lang w:val="es-MX"/>
        </w:rPr>
        <w:t xml:space="preserve">Beneficio racional y social </w:t>
      </w:r>
    </w:p>
    <w:p w14:paraId="3547B04F" w14:textId="3D0540FC" w:rsidR="00C52371" w:rsidRPr="008921DD" w:rsidRDefault="00597FC3" w:rsidP="002A3808">
      <w:pPr>
        <w:pStyle w:val="ListParagraph"/>
        <w:numPr>
          <w:ilvl w:val="0"/>
          <w:numId w:val="5"/>
        </w:numPr>
        <w:rPr>
          <w:lang w:val="es-MX"/>
        </w:rPr>
      </w:pPr>
      <w:r w:rsidRPr="008921DD">
        <w:rPr>
          <w:lang w:val="es-MX"/>
        </w:rPr>
        <w:t xml:space="preserve">No debe haber otra manera que tener que usar a un sujeto humano para investigación </w:t>
      </w:r>
    </w:p>
    <w:p w14:paraId="145A3622" w14:textId="1402E52F" w:rsidR="00C52371" w:rsidRPr="008921DD" w:rsidRDefault="00597FC3" w:rsidP="002A3808">
      <w:pPr>
        <w:pStyle w:val="ListParagraph"/>
        <w:numPr>
          <w:ilvl w:val="0"/>
          <w:numId w:val="5"/>
        </w:numPr>
        <w:rPr>
          <w:lang w:val="es-MX"/>
        </w:rPr>
      </w:pPr>
      <w:r w:rsidRPr="008921DD">
        <w:rPr>
          <w:lang w:val="es-MX"/>
        </w:rPr>
        <w:t xml:space="preserve">Proporcionalidad </w:t>
      </w:r>
      <w:r w:rsidR="002A3808" w:rsidRPr="008921DD">
        <w:rPr>
          <w:lang w:val="es-MX"/>
        </w:rPr>
        <w:t>(</w:t>
      </w:r>
      <w:r w:rsidRPr="008921DD">
        <w:rPr>
          <w:lang w:val="es-MX"/>
        </w:rPr>
        <w:t>en donde el radio riesgo/beneficio es alto)</w:t>
      </w:r>
    </w:p>
    <w:p w14:paraId="25C5788D" w14:textId="667E6895" w:rsidR="005E1AC3" w:rsidRPr="008921DD" w:rsidRDefault="00597FC3" w:rsidP="002A3808">
      <w:pPr>
        <w:pStyle w:val="ListParagraph"/>
        <w:numPr>
          <w:ilvl w:val="0"/>
          <w:numId w:val="5"/>
        </w:numPr>
        <w:rPr>
          <w:lang w:val="es-MX"/>
        </w:rPr>
      </w:pPr>
      <w:r w:rsidRPr="008921DD">
        <w:rPr>
          <w:lang w:val="es-MX"/>
        </w:rPr>
        <w:t xml:space="preserve">Detener la investigación si hay peligro </w:t>
      </w:r>
    </w:p>
    <w:p w14:paraId="309AAE60" w14:textId="3FD2AF0C" w:rsidR="009D3914" w:rsidRPr="008921DD" w:rsidRDefault="00597FC3" w:rsidP="009D3914">
      <w:pPr>
        <w:pStyle w:val="ListParagraph"/>
        <w:numPr>
          <w:ilvl w:val="0"/>
          <w:numId w:val="5"/>
        </w:numPr>
        <w:rPr>
          <w:lang w:val="es-MX"/>
        </w:rPr>
      </w:pPr>
      <w:r w:rsidRPr="008921DD">
        <w:rPr>
          <w:lang w:val="es-MX"/>
        </w:rPr>
        <w:t>Personal entrenado que realice la investigación</w:t>
      </w:r>
    </w:p>
    <w:p w14:paraId="60BA7DCF" w14:textId="43242523" w:rsidR="009D3914" w:rsidRPr="008921DD" w:rsidRDefault="00597FC3" w:rsidP="009D3914">
      <w:pPr>
        <w:rPr>
          <w:lang w:val="es-MX"/>
        </w:rPr>
      </w:pPr>
      <w:r w:rsidRPr="008921DD">
        <w:rPr>
          <w:lang w:val="es-MX"/>
        </w:rPr>
        <w:t>La mayoría de las regulaciones nacionales e internacionales están basados en este código.</w:t>
      </w:r>
      <w:r w:rsidR="00384611" w:rsidRPr="008921DD">
        <w:rPr>
          <w:lang w:val="es-MX"/>
        </w:rPr>
        <w:t xml:space="preserve"> </w:t>
      </w:r>
      <w:r w:rsidR="009D3914" w:rsidRPr="008921DD">
        <w:rPr>
          <w:lang w:val="es-MX"/>
        </w:rPr>
        <w:br w:type="page"/>
      </w:r>
    </w:p>
    <w:p w14:paraId="6277B158" w14:textId="08E52005" w:rsidR="00482367" w:rsidRPr="008921DD" w:rsidRDefault="00597FC3" w:rsidP="00597FC3">
      <w:pPr>
        <w:jc w:val="both"/>
        <w:rPr>
          <w:u w:val="single"/>
          <w:lang w:val="es-MX"/>
        </w:rPr>
      </w:pPr>
      <w:r w:rsidRPr="008921DD">
        <w:rPr>
          <w:u w:val="single"/>
          <w:lang w:val="es-MX"/>
        </w:rPr>
        <w:lastRenderedPageBreak/>
        <w:t>La Declaración de Helsinki</w:t>
      </w:r>
    </w:p>
    <w:p w14:paraId="23601C5B" w14:textId="794A8BD5" w:rsidR="00FD24AC" w:rsidRPr="008921DD" w:rsidRDefault="00597FC3" w:rsidP="00597FC3">
      <w:pPr>
        <w:jc w:val="both"/>
        <w:rPr>
          <w:lang w:val="es-MX"/>
        </w:rPr>
      </w:pPr>
      <w:r w:rsidRPr="008921DD">
        <w:rPr>
          <w:lang w:val="es-MX"/>
        </w:rPr>
        <w:t xml:space="preserve">La </w:t>
      </w:r>
      <w:r w:rsidR="00380966" w:rsidRPr="008921DD">
        <w:rPr>
          <w:lang w:val="es-MX"/>
        </w:rPr>
        <w:t>Declara</w:t>
      </w:r>
      <w:r w:rsidRPr="008921DD">
        <w:rPr>
          <w:lang w:val="es-MX"/>
        </w:rPr>
        <w:t>c</w:t>
      </w:r>
      <w:r w:rsidR="00380966" w:rsidRPr="008921DD">
        <w:rPr>
          <w:lang w:val="es-MX"/>
        </w:rPr>
        <w:t>i</w:t>
      </w:r>
      <w:r w:rsidRPr="008921DD">
        <w:rPr>
          <w:lang w:val="es-MX"/>
        </w:rPr>
        <w:t>ó</w:t>
      </w:r>
      <w:r w:rsidR="00380966" w:rsidRPr="008921DD">
        <w:rPr>
          <w:lang w:val="es-MX"/>
        </w:rPr>
        <w:t xml:space="preserve">n </w:t>
      </w:r>
      <w:r w:rsidRPr="008921DD">
        <w:rPr>
          <w:lang w:val="es-MX"/>
        </w:rPr>
        <w:t>de H</w:t>
      </w:r>
      <w:r w:rsidR="002A3808" w:rsidRPr="008921DD">
        <w:rPr>
          <w:lang w:val="es-MX"/>
        </w:rPr>
        <w:t xml:space="preserve">elsinki </w:t>
      </w:r>
      <w:r w:rsidRPr="008921DD">
        <w:rPr>
          <w:lang w:val="es-MX"/>
        </w:rPr>
        <w:t xml:space="preserve">fue establecida en 1964 bajo la autoridad de la Asociación Médica Mundial (WMA) y su última enmienda fue en 2013. La declaración reconocer la existencia de un conflicto de interés entre los investigadores ya que jugamos un doble papel de estar interesados en el estudio y en el cuidado del paciente. Esto llevó al Desarrollo de un comité de revisión de bioética para eliminar el </w:t>
      </w:r>
      <w:r w:rsidR="00696CB9" w:rsidRPr="008921DD">
        <w:rPr>
          <w:lang w:val="es-MX"/>
        </w:rPr>
        <w:t>juicio</w:t>
      </w:r>
      <w:r w:rsidRPr="008921DD">
        <w:rPr>
          <w:lang w:val="es-MX"/>
        </w:rPr>
        <w:t xml:space="preserve"> de los investigadores y depositarlo en un comité que pudiera realizar una evaluación independiente. La discusión de poblaciones vulnerables que tienen poco que decir en la investigación también fue incitada junto con las pláticas sobre como la colaboración internacional podría ser diseñada. Tan Buena como es esta declaración, su principal desventaja es que no es una ley que a la que se esté obligado a cumplir. </w:t>
      </w:r>
    </w:p>
    <w:p w14:paraId="67DCF004" w14:textId="03EE864B" w:rsidR="005E1AC3" w:rsidRPr="008921DD" w:rsidRDefault="00597FC3" w:rsidP="00597FC3">
      <w:pPr>
        <w:jc w:val="both"/>
        <w:rPr>
          <w:lang w:val="es-MX"/>
        </w:rPr>
      </w:pPr>
      <w:r w:rsidRPr="008921DD">
        <w:rPr>
          <w:lang w:val="es-MX"/>
        </w:rPr>
        <w:t>Esta se puede acceder a través del siguiente enlace</w:t>
      </w:r>
      <w:r w:rsidR="001D0F5C" w:rsidRPr="008921DD">
        <w:rPr>
          <w:rStyle w:val="FootnoteReference"/>
          <w:lang w:val="es-MX"/>
        </w:rPr>
        <w:footnoteReference w:id="1"/>
      </w:r>
      <w:r w:rsidR="00482367" w:rsidRPr="008921DD">
        <w:rPr>
          <w:lang w:val="es-MX"/>
        </w:rPr>
        <w:t>:</w:t>
      </w:r>
    </w:p>
    <w:p w14:paraId="3389F31B" w14:textId="1D679C11" w:rsidR="00482367" w:rsidRPr="008921DD" w:rsidRDefault="005404AE" w:rsidP="00597FC3">
      <w:pPr>
        <w:jc w:val="both"/>
        <w:rPr>
          <w:lang w:val="es-MX"/>
        </w:rPr>
      </w:pPr>
      <w:hyperlink r:id="rId9" w:history="1">
        <w:r w:rsidR="00482367" w:rsidRPr="008921DD">
          <w:rPr>
            <w:rStyle w:val="Hyperlink"/>
            <w:lang w:val="es-MX"/>
          </w:rPr>
          <w:t>https://www.wma.net/policies-post/wma-declaration-of-helinskiethical-principles-for-medical-research-involving-humansubjects/</w:t>
        </w:r>
      </w:hyperlink>
    </w:p>
    <w:p w14:paraId="7E1653E5" w14:textId="7FC02E99" w:rsidR="005E1AC3" w:rsidRPr="008921DD" w:rsidRDefault="005E1AC3" w:rsidP="00380966">
      <w:pPr>
        <w:rPr>
          <w:lang w:val="es-MX"/>
        </w:rPr>
      </w:pPr>
    </w:p>
    <w:p w14:paraId="2C982FEA" w14:textId="758D0A1A" w:rsidR="00AC3201" w:rsidRPr="008921DD" w:rsidRDefault="001D0F5C" w:rsidP="00380966">
      <w:pPr>
        <w:rPr>
          <w:u w:val="single"/>
          <w:lang w:val="es-MX"/>
        </w:rPr>
      </w:pPr>
      <w:r w:rsidRPr="008921DD">
        <w:rPr>
          <w:u w:val="single"/>
          <w:lang w:val="es-MX"/>
        </w:rPr>
        <w:t>Convención sobre Derechos Humanos y Biomedicina –</w:t>
      </w:r>
      <w:r w:rsidR="00AC3201" w:rsidRPr="008921DD">
        <w:rPr>
          <w:u w:val="single"/>
          <w:lang w:val="es-MX"/>
        </w:rPr>
        <w:t xml:space="preserve"> </w:t>
      </w:r>
      <w:r w:rsidRPr="008921DD">
        <w:rPr>
          <w:u w:val="single"/>
          <w:lang w:val="es-MX"/>
        </w:rPr>
        <w:t>La Convención de Oviedo</w:t>
      </w:r>
    </w:p>
    <w:p w14:paraId="1E108414" w14:textId="743EA9BF" w:rsidR="00482367" w:rsidRPr="008921DD" w:rsidRDefault="001D0F5C" w:rsidP="001D0F5C">
      <w:pPr>
        <w:jc w:val="both"/>
        <w:rPr>
          <w:lang w:val="es-MX"/>
        </w:rPr>
      </w:pPr>
      <w:r w:rsidRPr="008921DD">
        <w:rPr>
          <w:lang w:val="es-MX"/>
        </w:rPr>
        <w:t>Un documento con carácter legal fue realizado por el Consejo de Europa, 1997 y actualizado en 2005., firmado por muchas naciones. Habla extensamente sobre el consentimiento informado en el que el sujeto humano es debidamente informado sobre tener el derecho de elegir o no el participar en la investigación.</w:t>
      </w:r>
    </w:p>
    <w:p w14:paraId="50C3D7BE" w14:textId="16EC08FF" w:rsidR="00380966" w:rsidRPr="008921DD" w:rsidRDefault="004520C7" w:rsidP="00380966">
      <w:pPr>
        <w:rPr>
          <w:lang w:val="es-MX"/>
        </w:rPr>
      </w:pPr>
      <w:r w:rsidRPr="008921DD">
        <w:rPr>
          <w:lang w:val="es-MX"/>
        </w:rPr>
        <w:t xml:space="preserve"> </w:t>
      </w:r>
    </w:p>
    <w:p w14:paraId="6E536809" w14:textId="689B5299" w:rsidR="008A42B5" w:rsidRPr="008921DD" w:rsidRDefault="001D0F5C" w:rsidP="00380966">
      <w:pPr>
        <w:rPr>
          <w:u w:val="single"/>
          <w:lang w:val="es-MX"/>
        </w:rPr>
      </w:pPr>
      <w:r w:rsidRPr="008921DD">
        <w:rPr>
          <w:u w:val="single"/>
          <w:lang w:val="es-MX"/>
        </w:rPr>
        <w:t xml:space="preserve">El Reporte Belmont </w:t>
      </w:r>
    </w:p>
    <w:p w14:paraId="04388279" w14:textId="59EB45A7" w:rsidR="00380966" w:rsidRPr="008921DD" w:rsidRDefault="001D0F5C" w:rsidP="001D0F5C">
      <w:pPr>
        <w:jc w:val="both"/>
        <w:rPr>
          <w:lang w:val="es-MX"/>
        </w:rPr>
      </w:pPr>
      <w:r w:rsidRPr="008921DD">
        <w:rPr>
          <w:lang w:val="es-MX"/>
        </w:rPr>
        <w:t>El Acto Nacional de Investigación fue establecido en 1974 por la Comisión Nacional para la Protección de Sujetos Humanos en Investigación Biomédica y de Comportamiento El Informe Belmont fue redactado y se basó en los fundamentos de los acuerdos internacionales sobre lo que se considera ético en términos de investigación. Este informe establece tres principios éticos que son: Respeto por las personas [Autonomía y consentimiento informado]; Beneficencia [No dañar, Maximizar la relación riesgo / beneficio]; Justicia [Selección justa de temas de estudio, justa proporción de beneficios]</w:t>
      </w:r>
    </w:p>
    <w:p w14:paraId="47DB58EC" w14:textId="1C56A858" w:rsidR="00912BAA" w:rsidRPr="008921DD" w:rsidRDefault="00E71DDD" w:rsidP="007D016D">
      <w:pPr>
        <w:rPr>
          <w:lang w:val="es-MX"/>
        </w:rPr>
      </w:pPr>
      <w:r w:rsidRPr="008921DD">
        <w:rPr>
          <w:lang w:val="es-MX"/>
        </w:rPr>
        <w:lastRenderedPageBreak/>
        <w:t xml:space="preserve">El </w:t>
      </w:r>
      <w:r w:rsidR="008241F5" w:rsidRPr="008921DD">
        <w:rPr>
          <w:lang w:val="es-MX"/>
        </w:rPr>
        <w:t xml:space="preserve">reporte </w:t>
      </w:r>
      <w:r w:rsidRPr="008921DD">
        <w:rPr>
          <w:lang w:val="es-MX"/>
        </w:rPr>
        <w:t xml:space="preserve">puede ser accedido </w:t>
      </w:r>
      <w:r w:rsidR="008241F5" w:rsidRPr="008921DD">
        <w:rPr>
          <w:lang w:val="es-MX"/>
        </w:rPr>
        <w:t>usando el siguiente enlace</w:t>
      </w:r>
      <w:r w:rsidR="008241F5" w:rsidRPr="008921DD">
        <w:rPr>
          <w:rStyle w:val="FootnoteReference"/>
          <w:lang w:val="es-MX"/>
        </w:rPr>
        <w:footnoteReference w:id="2"/>
      </w:r>
      <w:r w:rsidR="00197F11" w:rsidRPr="008921DD">
        <w:rPr>
          <w:lang w:val="es-MX"/>
        </w:rPr>
        <w:t xml:space="preserve">: </w:t>
      </w:r>
      <w:hyperlink r:id="rId10" w:history="1">
        <w:r w:rsidR="00197F11" w:rsidRPr="008921DD">
          <w:rPr>
            <w:rStyle w:val="Hyperlink"/>
            <w:lang w:val="es-MX"/>
          </w:rPr>
          <w:t>https://www.hhs.gov/ohrp/regulations-and-policy/belmont-report/index.html</w:t>
        </w:r>
      </w:hyperlink>
      <w:r w:rsidR="00197F11" w:rsidRPr="008921DD">
        <w:rPr>
          <w:lang w:val="es-MX"/>
        </w:rPr>
        <w:t xml:space="preserve"> </w:t>
      </w:r>
    </w:p>
    <w:p w14:paraId="645F06DF" w14:textId="269926D0" w:rsidR="007D016D" w:rsidRPr="008921DD" w:rsidRDefault="002D2510" w:rsidP="007D016D">
      <w:pPr>
        <w:rPr>
          <w:u w:val="single"/>
          <w:lang w:val="es-MX"/>
        </w:rPr>
      </w:pPr>
      <w:r w:rsidRPr="008921DD">
        <w:rPr>
          <w:lang w:val="es-MX"/>
        </w:rPr>
        <w:br/>
      </w:r>
      <w:r w:rsidR="008241F5" w:rsidRPr="008921DD">
        <w:rPr>
          <w:u w:val="single"/>
          <w:lang w:val="es-MX"/>
        </w:rPr>
        <w:t>La Regla Común (y Final):</w:t>
      </w:r>
    </w:p>
    <w:p w14:paraId="01C42969" w14:textId="3FAE06FC" w:rsidR="00464B4B" w:rsidRPr="008921DD" w:rsidRDefault="008241F5" w:rsidP="008241F5">
      <w:pPr>
        <w:jc w:val="both"/>
        <w:rPr>
          <w:lang w:val="es-MX"/>
        </w:rPr>
      </w:pPr>
      <w:r w:rsidRPr="008921DD">
        <w:rPr>
          <w:lang w:val="es-MX"/>
        </w:rPr>
        <w:t>De los Estados Unidos, la última actualización en 2017. Se debe seguir como ley federal si se obtiene financiamiento de la FDA (Asociación de Alimentos y Medicamentos), NSF (National Science Foundation) y National Institutes of Health (NIH)</w:t>
      </w:r>
      <w:r w:rsidR="003F2436">
        <w:rPr>
          <w:lang w:val="es-MX"/>
        </w:rPr>
        <w:t>, e</w:t>
      </w:r>
      <w:r w:rsidRPr="008921DD">
        <w:rPr>
          <w:lang w:val="es-MX"/>
        </w:rPr>
        <w:t>specifica y define cómo llevar a cabo el consentimiento informado y las juntas de revisión institucional de las siguientes maneras:</w:t>
      </w:r>
    </w:p>
    <w:p w14:paraId="17A88253" w14:textId="1802C80D" w:rsidR="00197F11" w:rsidRPr="008921DD" w:rsidRDefault="008241F5" w:rsidP="00464B4B">
      <w:pPr>
        <w:pStyle w:val="ListParagraph"/>
        <w:numPr>
          <w:ilvl w:val="0"/>
          <w:numId w:val="3"/>
        </w:numPr>
        <w:rPr>
          <w:lang w:val="es-MX"/>
        </w:rPr>
      </w:pPr>
      <w:r w:rsidRPr="008921DD">
        <w:rPr>
          <w:lang w:val="es-MX"/>
        </w:rPr>
        <w:t>Consentimiento Informado</w:t>
      </w:r>
      <w:r w:rsidR="00464B4B" w:rsidRPr="008921DD">
        <w:rPr>
          <w:lang w:val="es-MX"/>
        </w:rPr>
        <w:t xml:space="preserve">: </w:t>
      </w:r>
    </w:p>
    <w:p w14:paraId="4B7A73B1" w14:textId="540226B9" w:rsidR="00197F11" w:rsidRPr="008921DD" w:rsidRDefault="008241F5" w:rsidP="00197F11">
      <w:pPr>
        <w:pStyle w:val="ListParagraph"/>
        <w:numPr>
          <w:ilvl w:val="0"/>
          <w:numId w:val="6"/>
        </w:numPr>
        <w:rPr>
          <w:lang w:val="es-MX"/>
        </w:rPr>
      </w:pPr>
      <w:r w:rsidRPr="008921DD">
        <w:rPr>
          <w:lang w:val="es-MX"/>
        </w:rPr>
        <w:t>Propósito y elección</w:t>
      </w:r>
    </w:p>
    <w:p w14:paraId="46EACA6A" w14:textId="163A799A" w:rsidR="00197F11" w:rsidRPr="008921DD" w:rsidRDefault="008241F5" w:rsidP="00197F11">
      <w:pPr>
        <w:pStyle w:val="ListParagraph"/>
        <w:numPr>
          <w:ilvl w:val="0"/>
          <w:numId w:val="6"/>
        </w:numPr>
        <w:rPr>
          <w:lang w:val="es-MX"/>
        </w:rPr>
      </w:pPr>
      <w:r w:rsidRPr="008921DD">
        <w:rPr>
          <w:lang w:val="es-MX"/>
        </w:rPr>
        <w:t>Riesgos y beneficios</w:t>
      </w:r>
    </w:p>
    <w:p w14:paraId="74FE21B7" w14:textId="777EDF8B" w:rsidR="00197F11" w:rsidRPr="008921DD" w:rsidRDefault="008241F5" w:rsidP="00197F11">
      <w:pPr>
        <w:pStyle w:val="ListParagraph"/>
        <w:numPr>
          <w:ilvl w:val="0"/>
          <w:numId w:val="6"/>
        </w:numPr>
        <w:rPr>
          <w:lang w:val="es-MX"/>
        </w:rPr>
      </w:pPr>
      <w:r w:rsidRPr="008921DD">
        <w:rPr>
          <w:lang w:val="es-MX"/>
        </w:rPr>
        <w:t>Derechos</w:t>
      </w:r>
    </w:p>
    <w:p w14:paraId="3D073931" w14:textId="4C529A47" w:rsidR="00197F11" w:rsidRPr="008921DD" w:rsidRDefault="008241F5" w:rsidP="00197F11">
      <w:pPr>
        <w:pStyle w:val="ListParagraph"/>
        <w:numPr>
          <w:ilvl w:val="0"/>
          <w:numId w:val="6"/>
        </w:numPr>
        <w:rPr>
          <w:lang w:val="es-MX"/>
        </w:rPr>
      </w:pPr>
      <w:r w:rsidRPr="008921DD">
        <w:rPr>
          <w:lang w:val="es-MX"/>
        </w:rPr>
        <w:t>Privacidad</w:t>
      </w:r>
    </w:p>
    <w:p w14:paraId="44F24727" w14:textId="5F06195C" w:rsidR="00197F11" w:rsidRPr="008921DD" w:rsidRDefault="008241F5" w:rsidP="00197F11">
      <w:pPr>
        <w:pStyle w:val="ListParagraph"/>
        <w:numPr>
          <w:ilvl w:val="0"/>
          <w:numId w:val="6"/>
        </w:numPr>
        <w:rPr>
          <w:lang w:val="es-MX"/>
        </w:rPr>
      </w:pPr>
      <w:r w:rsidRPr="008921DD">
        <w:rPr>
          <w:lang w:val="es-MX"/>
        </w:rPr>
        <w:t>Responsabilidades</w:t>
      </w:r>
    </w:p>
    <w:p w14:paraId="3207FA78" w14:textId="77777777" w:rsidR="00197F11" w:rsidRPr="008921DD" w:rsidRDefault="00197F11" w:rsidP="00197F11">
      <w:pPr>
        <w:pStyle w:val="ListParagraph"/>
        <w:rPr>
          <w:lang w:val="es-MX"/>
        </w:rPr>
      </w:pPr>
    </w:p>
    <w:p w14:paraId="4BD52089" w14:textId="514BCA08" w:rsidR="00730494" w:rsidRPr="008921DD" w:rsidRDefault="008241F5" w:rsidP="00197F11">
      <w:pPr>
        <w:pStyle w:val="ListParagraph"/>
        <w:numPr>
          <w:ilvl w:val="0"/>
          <w:numId w:val="3"/>
        </w:numPr>
        <w:rPr>
          <w:lang w:val="es-MX"/>
        </w:rPr>
      </w:pPr>
      <w:r w:rsidRPr="008921DD">
        <w:rPr>
          <w:lang w:val="es-MX"/>
        </w:rPr>
        <w:t>Series de Revisión Institucional</w:t>
      </w:r>
      <w:r w:rsidR="007D016D" w:rsidRPr="008921DD">
        <w:rPr>
          <w:lang w:val="es-MX"/>
        </w:rPr>
        <w:t xml:space="preserve">: </w:t>
      </w:r>
    </w:p>
    <w:p w14:paraId="7C6CEF6C" w14:textId="087B39B1" w:rsidR="00730494" w:rsidRPr="008921DD" w:rsidRDefault="008241F5" w:rsidP="00912BAA">
      <w:pPr>
        <w:pStyle w:val="ListParagraph"/>
        <w:numPr>
          <w:ilvl w:val="0"/>
          <w:numId w:val="16"/>
        </w:numPr>
        <w:rPr>
          <w:lang w:val="es-MX"/>
        </w:rPr>
      </w:pPr>
      <w:r w:rsidRPr="008921DD">
        <w:rPr>
          <w:lang w:val="es-MX"/>
        </w:rPr>
        <w:t xml:space="preserve">Investigación en Sujetos Humanos </w:t>
      </w:r>
    </w:p>
    <w:p w14:paraId="59F5B737" w14:textId="78AC3FE6" w:rsidR="00912BAA" w:rsidRPr="008921DD" w:rsidRDefault="0026018D" w:rsidP="00912BAA">
      <w:pPr>
        <w:pStyle w:val="ListParagraph"/>
        <w:numPr>
          <w:ilvl w:val="0"/>
          <w:numId w:val="16"/>
        </w:numPr>
        <w:rPr>
          <w:lang w:val="es-MX"/>
        </w:rPr>
      </w:pPr>
      <w:r w:rsidRPr="008921DD">
        <w:rPr>
          <w:noProof/>
          <w:lang w:val="es-MX"/>
        </w:rPr>
        <w:drawing>
          <wp:anchor distT="0" distB="0" distL="114300" distR="114300" simplePos="0" relativeHeight="251658240" behindDoc="0" locked="0" layoutInCell="1" allowOverlap="1" wp14:anchorId="72568510" wp14:editId="2750F4C8">
            <wp:simplePos x="0" y="0"/>
            <wp:positionH relativeFrom="page">
              <wp:posOffset>5199332</wp:posOffset>
            </wp:positionH>
            <wp:positionV relativeFrom="page">
              <wp:posOffset>6134171</wp:posOffset>
            </wp:positionV>
            <wp:extent cx="2056657" cy="2972435"/>
            <wp:effectExtent l="0" t="0" r="1270" b="0"/>
            <wp:wrapThrough wrapText="bothSides">
              <wp:wrapPolygon edited="0">
                <wp:start x="0" y="0"/>
                <wp:lineTo x="0" y="21457"/>
                <wp:lineTo x="21413" y="21457"/>
                <wp:lineTo x="214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6657" cy="297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1F5" w:rsidRPr="008921DD">
        <w:rPr>
          <w:lang w:val="es-MX"/>
        </w:rPr>
        <w:t xml:space="preserve">Comité de Revisión en Ética </w:t>
      </w:r>
    </w:p>
    <w:p w14:paraId="5C4B829A" w14:textId="2579212F" w:rsidR="003E4F5F" w:rsidRPr="008921DD" w:rsidRDefault="003E4F5F" w:rsidP="00197F11">
      <w:pPr>
        <w:rPr>
          <w:lang w:val="es-MX"/>
        </w:rPr>
      </w:pPr>
    </w:p>
    <w:p w14:paraId="02BFC3A4" w14:textId="7F7C446F" w:rsidR="003E4F5F" w:rsidRPr="008921DD" w:rsidRDefault="008241F5" w:rsidP="00197F11">
      <w:pPr>
        <w:rPr>
          <w:u w:val="single"/>
          <w:lang w:val="es-MX"/>
        </w:rPr>
      </w:pPr>
      <w:r w:rsidRPr="008921DD">
        <w:rPr>
          <w:u w:val="single"/>
          <w:lang w:val="es-MX"/>
        </w:rPr>
        <w:t>Definición de términos (la Regla Común</w:t>
      </w:r>
      <w:r w:rsidR="00912BAA" w:rsidRPr="008921DD">
        <w:rPr>
          <w:u w:val="single"/>
          <w:lang w:val="es-MX"/>
        </w:rPr>
        <w:t>, 2017)</w:t>
      </w:r>
    </w:p>
    <w:p w14:paraId="75C6D768" w14:textId="397EEB79" w:rsidR="008241F5" w:rsidRPr="008921DD" w:rsidRDefault="008241F5" w:rsidP="00380966">
      <w:pPr>
        <w:rPr>
          <w:lang w:val="es-MX"/>
        </w:rPr>
      </w:pPr>
      <w:r w:rsidRPr="008921DD">
        <w:rPr>
          <w:lang w:val="es-MX"/>
        </w:rPr>
        <w:t>Investigación significa un</w:t>
      </w:r>
      <w:r w:rsidR="009D3740" w:rsidRPr="008921DD">
        <w:rPr>
          <w:lang w:val="es-MX"/>
        </w:rPr>
        <w:t xml:space="preserve"> estudio </w:t>
      </w:r>
      <w:r w:rsidRPr="008921DD">
        <w:rPr>
          <w:lang w:val="es-MX"/>
        </w:rPr>
        <w:t>sistemátic</w:t>
      </w:r>
      <w:r w:rsidR="009D3740" w:rsidRPr="008921DD">
        <w:rPr>
          <w:lang w:val="es-MX"/>
        </w:rPr>
        <w:t>o</w:t>
      </w:r>
      <w:r w:rsidRPr="008921DD">
        <w:rPr>
          <w:lang w:val="es-MX"/>
        </w:rPr>
        <w:t>, que incluye el desarrollo de la investigación, las pruebas y la evaluación, diseñada para desarrollar o contribuir al conocimiento generalizable.</w:t>
      </w:r>
    </w:p>
    <w:p w14:paraId="0E0EA78D" w14:textId="50C38AAF" w:rsidR="00F53BC9" w:rsidRPr="008921DD" w:rsidRDefault="009D3740" w:rsidP="00380966">
      <w:pPr>
        <w:rPr>
          <w:lang w:val="es-MX"/>
        </w:rPr>
      </w:pPr>
      <w:r w:rsidRPr="008921DD">
        <w:rPr>
          <w:lang w:val="es-MX"/>
        </w:rPr>
        <w:t xml:space="preserve">Un sujeto humano es un individuo vivo sobre el cual es investigador (ya sea un profesional o estudiante) conduce investigación. </w:t>
      </w:r>
      <w:r w:rsidR="00197F11" w:rsidRPr="008921DD">
        <w:rPr>
          <w:lang w:val="es-MX"/>
        </w:rPr>
        <w:br/>
      </w:r>
      <w:r w:rsidR="00197F11" w:rsidRPr="008921DD">
        <w:rPr>
          <w:rFonts w:cs="Times New Roman"/>
          <w:lang w:val="es-MX"/>
        </w:rPr>
        <w:t xml:space="preserve">1.  </w:t>
      </w:r>
      <w:r w:rsidRPr="008921DD">
        <w:rPr>
          <w:rFonts w:cs="Times New Roman"/>
          <w:lang w:val="es-MX"/>
        </w:rPr>
        <w:t>Obtiene información o bioespecímenes a través de intervenciones o interacción con el individuo y usa o analiza la información o los bioespecímenes</w:t>
      </w:r>
      <w:r w:rsidR="00197F11" w:rsidRPr="008921DD">
        <w:rPr>
          <w:lang w:val="es-MX"/>
        </w:rPr>
        <w:t xml:space="preserve">; </w:t>
      </w:r>
      <w:r w:rsidR="00197F11" w:rsidRPr="008921DD">
        <w:rPr>
          <w:rFonts w:ascii="Arial-ItalicMT" w:hAnsi="Arial-ItalicMT"/>
          <w:b/>
          <w:i/>
          <w:iCs/>
          <w:u w:val="single"/>
          <w:lang w:val="es-MX"/>
        </w:rPr>
        <w:t>o</w:t>
      </w:r>
      <w:r w:rsidRPr="008921DD">
        <w:rPr>
          <w:rFonts w:ascii="Arial-ItalicMT" w:hAnsi="Arial-ItalicMT"/>
          <w:b/>
          <w:i/>
          <w:iCs/>
          <w:u w:val="single"/>
          <w:lang w:val="es-MX"/>
        </w:rPr>
        <w:t xml:space="preserve"> bien,</w:t>
      </w:r>
      <w:r w:rsidR="00197F11" w:rsidRPr="008921DD">
        <w:rPr>
          <w:rFonts w:ascii="Arial-ItalicMT" w:hAnsi="Arial-ItalicMT"/>
          <w:i/>
          <w:iCs/>
          <w:lang w:val="es-MX"/>
        </w:rPr>
        <w:br/>
      </w:r>
      <w:r w:rsidR="00197F11" w:rsidRPr="008921DD">
        <w:rPr>
          <w:rFonts w:cs="Times New Roman"/>
          <w:lang w:val="es-MX"/>
        </w:rPr>
        <w:lastRenderedPageBreak/>
        <w:t xml:space="preserve">2.  </w:t>
      </w:r>
      <w:r w:rsidRPr="008921DD">
        <w:rPr>
          <w:rFonts w:cs="Times New Roman"/>
          <w:lang w:val="es-MX"/>
        </w:rPr>
        <w:t>Obtiene, usa estudia, analiza o genera información privada identificable o bioespecímenes identificables.</w:t>
      </w:r>
    </w:p>
    <w:p w14:paraId="546E66B2" w14:textId="16399895" w:rsidR="002D2510" w:rsidRPr="008921DD" w:rsidRDefault="009D3740" w:rsidP="00380966">
      <w:pPr>
        <w:rPr>
          <w:lang w:val="es-MX"/>
        </w:rPr>
      </w:pPr>
      <w:r w:rsidRPr="008921DD">
        <w:rPr>
          <w:lang w:val="es-MX"/>
        </w:rPr>
        <w:t xml:space="preserve">El diagrama de lado derecho puede usarse para asesorar si el estudio propuesto será una investigación en sujetos humanos o no. </w:t>
      </w:r>
    </w:p>
    <w:p w14:paraId="117A4181" w14:textId="77777777" w:rsidR="002D2510" w:rsidRPr="008921DD" w:rsidRDefault="002D2510" w:rsidP="00380966">
      <w:pPr>
        <w:rPr>
          <w:lang w:val="es-MX"/>
        </w:rPr>
      </w:pPr>
    </w:p>
    <w:p w14:paraId="418EEF20" w14:textId="60BBB2E5" w:rsidR="00587588" w:rsidRPr="008921DD" w:rsidRDefault="00E05A32" w:rsidP="00380966">
      <w:pPr>
        <w:rPr>
          <w:lang w:val="es-MX"/>
        </w:rPr>
      </w:pPr>
      <w:r w:rsidRPr="008921DD">
        <w:rPr>
          <w:lang w:val="es-MX"/>
        </w:rPr>
        <w:t>En Suecia</w:t>
      </w:r>
      <w:r w:rsidR="0005616A" w:rsidRPr="008921DD">
        <w:rPr>
          <w:lang w:val="es-MX"/>
        </w:rPr>
        <w:t xml:space="preserve">, </w:t>
      </w:r>
      <w:r w:rsidRPr="008921DD">
        <w:rPr>
          <w:lang w:val="es-MX"/>
        </w:rPr>
        <w:t xml:space="preserve">la aprobación de un CEI se </w:t>
      </w:r>
      <w:r w:rsidR="003F2436" w:rsidRPr="008921DD">
        <w:rPr>
          <w:lang w:val="es-MX"/>
        </w:rPr>
        <w:t>requiere</w:t>
      </w:r>
      <w:r w:rsidRPr="008921DD">
        <w:rPr>
          <w:lang w:val="es-MX"/>
        </w:rPr>
        <w:t xml:space="preserve"> si la información usada es </w:t>
      </w:r>
      <w:r w:rsidRPr="008921DD">
        <w:rPr>
          <w:i/>
          <w:lang w:val="es-MX"/>
        </w:rPr>
        <w:t>sensible</w:t>
      </w:r>
      <w:r w:rsidRPr="008921DD">
        <w:rPr>
          <w:lang w:val="es-MX"/>
        </w:rPr>
        <w:t>, tal como:</w:t>
      </w:r>
    </w:p>
    <w:p w14:paraId="56042E1A" w14:textId="40E7B02A" w:rsidR="00587588" w:rsidRPr="008921DD" w:rsidRDefault="00E05A32" w:rsidP="00330E90">
      <w:pPr>
        <w:pStyle w:val="ListParagraph"/>
        <w:numPr>
          <w:ilvl w:val="0"/>
          <w:numId w:val="8"/>
        </w:numPr>
        <w:rPr>
          <w:lang w:val="es-MX"/>
        </w:rPr>
      </w:pPr>
      <w:r w:rsidRPr="008921DD">
        <w:rPr>
          <w:lang w:val="es-MX"/>
        </w:rPr>
        <w:t>Raza o etnia</w:t>
      </w:r>
    </w:p>
    <w:p w14:paraId="7F924717" w14:textId="2FB46853" w:rsidR="00587588" w:rsidRPr="008921DD" w:rsidRDefault="00E05A32" w:rsidP="00330E90">
      <w:pPr>
        <w:pStyle w:val="ListParagraph"/>
        <w:numPr>
          <w:ilvl w:val="0"/>
          <w:numId w:val="8"/>
        </w:numPr>
        <w:rPr>
          <w:lang w:val="es-MX"/>
        </w:rPr>
      </w:pPr>
      <w:r w:rsidRPr="008921DD">
        <w:rPr>
          <w:lang w:val="es-MX"/>
        </w:rPr>
        <w:t>Opinión política</w:t>
      </w:r>
    </w:p>
    <w:p w14:paraId="0C7A22EE" w14:textId="76463F42" w:rsidR="00587588" w:rsidRPr="008921DD" w:rsidRDefault="00E05A32" w:rsidP="00330E90">
      <w:pPr>
        <w:pStyle w:val="ListParagraph"/>
        <w:numPr>
          <w:ilvl w:val="0"/>
          <w:numId w:val="8"/>
        </w:numPr>
        <w:rPr>
          <w:lang w:val="es-MX"/>
        </w:rPr>
      </w:pPr>
      <w:r w:rsidRPr="008921DD">
        <w:rPr>
          <w:lang w:val="es-MX"/>
        </w:rPr>
        <w:t>Religión o filosofía</w:t>
      </w:r>
    </w:p>
    <w:p w14:paraId="7FDEBD63" w14:textId="58A2A6F0" w:rsidR="00587588" w:rsidRPr="008921DD" w:rsidRDefault="00E05A32" w:rsidP="00330E90">
      <w:pPr>
        <w:pStyle w:val="ListParagraph"/>
        <w:numPr>
          <w:ilvl w:val="0"/>
          <w:numId w:val="8"/>
        </w:numPr>
        <w:rPr>
          <w:lang w:val="es-MX"/>
        </w:rPr>
      </w:pPr>
      <w:r w:rsidRPr="008921DD">
        <w:rPr>
          <w:lang w:val="es-MX"/>
        </w:rPr>
        <w:t>Sindicalismo</w:t>
      </w:r>
    </w:p>
    <w:p w14:paraId="1F9ADE6B" w14:textId="2FC6D1D7" w:rsidR="00587588" w:rsidRPr="008921DD" w:rsidRDefault="00E05A32" w:rsidP="00330E90">
      <w:pPr>
        <w:pStyle w:val="ListParagraph"/>
        <w:numPr>
          <w:ilvl w:val="0"/>
          <w:numId w:val="8"/>
        </w:numPr>
        <w:rPr>
          <w:lang w:val="es-MX"/>
        </w:rPr>
      </w:pPr>
      <w:r w:rsidRPr="008921DD">
        <w:rPr>
          <w:lang w:val="es-MX"/>
        </w:rPr>
        <w:t>Sexualidad</w:t>
      </w:r>
    </w:p>
    <w:p w14:paraId="623D249B" w14:textId="04EB41E2" w:rsidR="00587588" w:rsidRPr="008921DD" w:rsidRDefault="00E05A32" w:rsidP="00330E90">
      <w:pPr>
        <w:pStyle w:val="ListParagraph"/>
        <w:numPr>
          <w:ilvl w:val="0"/>
          <w:numId w:val="8"/>
        </w:numPr>
        <w:rPr>
          <w:lang w:val="es-MX"/>
        </w:rPr>
      </w:pPr>
      <w:r w:rsidRPr="008921DD">
        <w:rPr>
          <w:lang w:val="es-MX"/>
        </w:rPr>
        <w:t xml:space="preserve">Salud </w:t>
      </w:r>
      <w:r w:rsidR="00587588" w:rsidRPr="008921DD">
        <w:rPr>
          <w:lang w:val="es-MX"/>
        </w:rPr>
        <w:t>(</w:t>
      </w:r>
      <w:r w:rsidRPr="008921DD">
        <w:rPr>
          <w:lang w:val="es-MX"/>
        </w:rPr>
        <w:t>en el sentido más amplio)</w:t>
      </w:r>
    </w:p>
    <w:p w14:paraId="51A60703" w14:textId="77777777" w:rsidR="00E05A32" w:rsidRPr="008921DD" w:rsidRDefault="00E05A32" w:rsidP="00380966">
      <w:pPr>
        <w:rPr>
          <w:lang w:val="es-MX"/>
        </w:rPr>
      </w:pPr>
    </w:p>
    <w:p w14:paraId="6A233F09" w14:textId="301AC08B" w:rsidR="00587588" w:rsidRPr="008921DD" w:rsidRDefault="00E05A32" w:rsidP="00380966">
      <w:pPr>
        <w:rPr>
          <w:lang w:val="es-MX"/>
        </w:rPr>
      </w:pPr>
      <w:r w:rsidRPr="008921DD">
        <w:rPr>
          <w:lang w:val="es-MX"/>
        </w:rPr>
        <w:t>Debe acercarse al IRB de su institución para que puedan aprobar, requiera una modificación en la investigación para asegurar la aprobación, aplace la acción o desapruebe todas las actividades de investigación, incluidos los cambios propuestos en la investigación en curso sobre sujetos humanos en curso y previamente aprobados. El CEI también tiene el poder de suspender o cancelar la aprobación de investigaciones en curso aprobadas previamente que no se realizan de acuerdo con los requisitos de la junta directiva o podrían causar más daño que beneficio a los sujetos. Para que una investigación sea aprobada necesita cumplir con los siguientes requisitos:</w:t>
      </w:r>
    </w:p>
    <w:p w14:paraId="3D54EC02" w14:textId="77777777" w:rsidR="00E05A32" w:rsidRPr="008921DD" w:rsidRDefault="00E05A32" w:rsidP="005538DB">
      <w:pPr>
        <w:ind w:left="450"/>
        <w:rPr>
          <w:lang w:val="es-MX"/>
        </w:rPr>
      </w:pPr>
      <w:r w:rsidRPr="008921DD">
        <w:rPr>
          <w:lang w:val="es-MX"/>
        </w:rPr>
        <w:t>• Se minimizan los riesgos a los sujetos.</w:t>
      </w:r>
    </w:p>
    <w:p w14:paraId="7DEEE2A3" w14:textId="77777777" w:rsidR="00E05A32" w:rsidRPr="008921DD" w:rsidRDefault="00E05A32" w:rsidP="005538DB">
      <w:pPr>
        <w:ind w:left="450"/>
        <w:rPr>
          <w:lang w:val="es-MX"/>
        </w:rPr>
      </w:pPr>
      <w:r w:rsidRPr="008921DD">
        <w:rPr>
          <w:lang w:val="es-MX"/>
        </w:rPr>
        <w:t>• Los riesgos son razonables en relación con los beneficios anticipados</w:t>
      </w:r>
    </w:p>
    <w:p w14:paraId="50798638" w14:textId="77777777" w:rsidR="00E05A32" w:rsidRPr="008921DD" w:rsidRDefault="00E05A32" w:rsidP="005538DB">
      <w:pPr>
        <w:ind w:left="450"/>
        <w:rPr>
          <w:lang w:val="es-MX"/>
        </w:rPr>
      </w:pPr>
      <w:r w:rsidRPr="008921DD">
        <w:rPr>
          <w:lang w:val="es-MX"/>
        </w:rPr>
        <w:t>• Selección de asignaturas equitativas.</w:t>
      </w:r>
    </w:p>
    <w:p w14:paraId="611EE7AF" w14:textId="77777777" w:rsidR="00E05A32" w:rsidRPr="008921DD" w:rsidRDefault="00E05A32" w:rsidP="005538DB">
      <w:pPr>
        <w:ind w:left="450"/>
        <w:rPr>
          <w:lang w:val="es-MX"/>
        </w:rPr>
      </w:pPr>
      <w:r w:rsidRPr="008921DD">
        <w:rPr>
          <w:lang w:val="es-MX"/>
        </w:rPr>
        <w:t>• Se solicita el consentimiento informado de cada sujeto.</w:t>
      </w:r>
    </w:p>
    <w:p w14:paraId="79AB2081" w14:textId="77777777" w:rsidR="00E05A32" w:rsidRPr="008921DD" w:rsidRDefault="00E05A32" w:rsidP="005538DB">
      <w:pPr>
        <w:ind w:left="450"/>
        <w:rPr>
          <w:lang w:val="es-MX"/>
        </w:rPr>
      </w:pPr>
      <w:r w:rsidRPr="008921DD">
        <w:rPr>
          <w:lang w:val="es-MX"/>
        </w:rPr>
        <w:t>• El consentimiento informado está debidamente documentado.</w:t>
      </w:r>
    </w:p>
    <w:p w14:paraId="350ADF56" w14:textId="77777777" w:rsidR="00E05A32" w:rsidRPr="008921DD" w:rsidRDefault="00E05A32" w:rsidP="005538DB">
      <w:pPr>
        <w:ind w:left="450"/>
        <w:rPr>
          <w:lang w:val="es-MX"/>
        </w:rPr>
      </w:pPr>
      <w:r w:rsidRPr="008921DD">
        <w:rPr>
          <w:lang w:val="es-MX"/>
        </w:rPr>
        <w:t>• La recolección de datos es monitoreada para garantizar la seguridad del sujeto.</w:t>
      </w:r>
    </w:p>
    <w:p w14:paraId="7D26C46C" w14:textId="77777777" w:rsidR="00E05A32" w:rsidRPr="008921DD" w:rsidRDefault="00E05A32" w:rsidP="005538DB">
      <w:pPr>
        <w:ind w:left="450"/>
        <w:rPr>
          <w:lang w:val="es-MX"/>
        </w:rPr>
      </w:pPr>
      <w:r w:rsidRPr="008921DD">
        <w:rPr>
          <w:lang w:val="es-MX"/>
        </w:rPr>
        <w:t>• Se protege la privacidad y confidencialidad de los sujetos.</w:t>
      </w:r>
    </w:p>
    <w:p w14:paraId="534A6FCD" w14:textId="77777777" w:rsidR="00E05A32" w:rsidRPr="008921DD" w:rsidRDefault="00E05A32" w:rsidP="005538DB">
      <w:pPr>
        <w:ind w:left="450"/>
        <w:rPr>
          <w:lang w:val="es-MX"/>
        </w:rPr>
      </w:pPr>
      <w:r w:rsidRPr="008921DD">
        <w:rPr>
          <w:lang w:val="es-MX"/>
        </w:rPr>
        <w:t>• Se incluyen salvaguardas adicionales para las poblaciones vulnerables.</w:t>
      </w:r>
    </w:p>
    <w:p w14:paraId="28640DB1" w14:textId="69AFDC05" w:rsidR="002D2510" w:rsidRPr="008921DD" w:rsidRDefault="00E05A32" w:rsidP="005538DB">
      <w:pPr>
        <w:ind w:left="450"/>
        <w:rPr>
          <w:lang w:val="es-MX"/>
        </w:rPr>
      </w:pPr>
      <w:r w:rsidRPr="008921DD">
        <w:rPr>
          <w:lang w:val="es-MX"/>
        </w:rPr>
        <w:lastRenderedPageBreak/>
        <w:t>• Los beneficios siempre deben ser más que el riesgo - evaluación de la metodología</w:t>
      </w:r>
    </w:p>
    <w:p w14:paraId="53D3CE65" w14:textId="073BA741" w:rsidR="003E4F5F" w:rsidRPr="008921DD" w:rsidRDefault="005538DB" w:rsidP="005538DB">
      <w:pPr>
        <w:rPr>
          <w:lang w:val="es-MX"/>
        </w:rPr>
      </w:pPr>
      <w:r w:rsidRPr="008921DD">
        <w:rPr>
          <w:lang w:val="es-MX"/>
        </w:rPr>
        <w:t>Respeta y protege a los sujetos de cualquier daño:</w:t>
      </w:r>
    </w:p>
    <w:p w14:paraId="601202BA" w14:textId="65E19165" w:rsidR="003E4F5F" w:rsidRPr="008921DD" w:rsidRDefault="005538DB" w:rsidP="003E4F5F">
      <w:pPr>
        <w:pStyle w:val="ListParagraph"/>
        <w:numPr>
          <w:ilvl w:val="0"/>
          <w:numId w:val="10"/>
        </w:numPr>
        <w:rPr>
          <w:lang w:val="es-MX"/>
        </w:rPr>
      </w:pPr>
      <w:r w:rsidRPr="008921DD">
        <w:rPr>
          <w:lang w:val="es-MX"/>
        </w:rPr>
        <w:t xml:space="preserve">Mental </w:t>
      </w:r>
    </w:p>
    <w:p w14:paraId="3F7A24CE" w14:textId="4D7DEC20" w:rsidR="003E4F5F" w:rsidRPr="008921DD" w:rsidRDefault="005538DB" w:rsidP="003E4F5F">
      <w:pPr>
        <w:pStyle w:val="ListParagraph"/>
        <w:numPr>
          <w:ilvl w:val="0"/>
          <w:numId w:val="10"/>
        </w:numPr>
        <w:rPr>
          <w:lang w:val="es-MX"/>
        </w:rPr>
      </w:pPr>
      <w:r w:rsidRPr="008921DD">
        <w:rPr>
          <w:lang w:val="es-MX"/>
        </w:rPr>
        <w:t>A su Integridad</w:t>
      </w:r>
    </w:p>
    <w:p w14:paraId="54A80899" w14:textId="63468D83" w:rsidR="009D345F" w:rsidRPr="008921DD" w:rsidRDefault="005538DB" w:rsidP="009D345F">
      <w:pPr>
        <w:pStyle w:val="ListParagraph"/>
        <w:numPr>
          <w:ilvl w:val="0"/>
          <w:numId w:val="10"/>
        </w:numPr>
        <w:rPr>
          <w:lang w:val="es-MX"/>
        </w:rPr>
      </w:pPr>
      <w:r w:rsidRPr="008921DD">
        <w:rPr>
          <w:lang w:val="es-MX"/>
        </w:rPr>
        <w:t>Social - e</w:t>
      </w:r>
      <w:r w:rsidR="009D345F" w:rsidRPr="008921DD">
        <w:rPr>
          <w:lang w:val="es-MX"/>
        </w:rPr>
        <w:t>stigmati</w:t>
      </w:r>
      <w:r w:rsidRPr="008921DD">
        <w:rPr>
          <w:lang w:val="es-MX"/>
        </w:rPr>
        <w:t>z</w:t>
      </w:r>
      <w:r w:rsidR="009D345F" w:rsidRPr="008921DD">
        <w:rPr>
          <w:lang w:val="es-MX"/>
        </w:rPr>
        <w:t>a</w:t>
      </w:r>
      <w:r w:rsidRPr="008921DD">
        <w:rPr>
          <w:lang w:val="es-MX"/>
        </w:rPr>
        <w:t>c</w:t>
      </w:r>
      <w:r w:rsidR="009D345F" w:rsidRPr="008921DD">
        <w:rPr>
          <w:lang w:val="es-MX"/>
        </w:rPr>
        <w:t>i</w:t>
      </w:r>
      <w:r w:rsidRPr="008921DD">
        <w:rPr>
          <w:lang w:val="es-MX"/>
        </w:rPr>
        <w:t>ó</w:t>
      </w:r>
      <w:r w:rsidR="009D345F" w:rsidRPr="008921DD">
        <w:rPr>
          <w:lang w:val="es-MX"/>
        </w:rPr>
        <w:t>n</w:t>
      </w:r>
    </w:p>
    <w:p w14:paraId="26DB751A" w14:textId="114538FF" w:rsidR="00330E90" w:rsidRPr="008921DD" w:rsidRDefault="005538DB" w:rsidP="003E4F5F">
      <w:pPr>
        <w:pStyle w:val="ListParagraph"/>
        <w:numPr>
          <w:ilvl w:val="0"/>
          <w:numId w:val="10"/>
        </w:numPr>
        <w:rPr>
          <w:lang w:val="es-MX"/>
        </w:rPr>
      </w:pPr>
      <w:r w:rsidRPr="008921DD">
        <w:rPr>
          <w:lang w:val="es-MX"/>
        </w:rPr>
        <w:t>Financiero y legal</w:t>
      </w:r>
    </w:p>
    <w:p w14:paraId="388434BA" w14:textId="77777777" w:rsidR="00587588" w:rsidRPr="008921DD" w:rsidRDefault="00587588" w:rsidP="00380966">
      <w:pPr>
        <w:rPr>
          <w:lang w:val="es-MX"/>
        </w:rPr>
      </w:pPr>
    </w:p>
    <w:p w14:paraId="0040EDD4" w14:textId="078AC3FD" w:rsidR="00197F11" w:rsidRPr="008921DD" w:rsidRDefault="005538DB" w:rsidP="00380966">
      <w:pPr>
        <w:rPr>
          <w:u w:val="single"/>
          <w:lang w:val="es-MX"/>
        </w:rPr>
      </w:pPr>
      <w:r w:rsidRPr="008921DD">
        <w:rPr>
          <w:u w:val="single"/>
          <w:lang w:val="es-MX"/>
        </w:rPr>
        <w:t xml:space="preserve">¿Se </w:t>
      </w:r>
      <w:r w:rsidR="003F2436" w:rsidRPr="008921DD">
        <w:rPr>
          <w:u w:val="single"/>
          <w:lang w:val="es-MX"/>
        </w:rPr>
        <w:t>requiere</w:t>
      </w:r>
      <w:r w:rsidRPr="008921DD">
        <w:rPr>
          <w:u w:val="single"/>
          <w:lang w:val="es-MX"/>
        </w:rPr>
        <w:t xml:space="preserve"> una </w:t>
      </w:r>
      <w:r w:rsidR="003F2436" w:rsidRPr="008921DD">
        <w:rPr>
          <w:u w:val="single"/>
          <w:lang w:val="es-MX"/>
        </w:rPr>
        <w:t>revisión</w:t>
      </w:r>
      <w:r w:rsidRPr="008921DD">
        <w:rPr>
          <w:u w:val="single"/>
          <w:lang w:val="es-MX"/>
        </w:rPr>
        <w:t>?</w:t>
      </w:r>
    </w:p>
    <w:p w14:paraId="186625F7" w14:textId="60E8E19A" w:rsidR="009D345F" w:rsidRPr="008921DD" w:rsidRDefault="005538DB" w:rsidP="005538DB">
      <w:pPr>
        <w:jc w:val="both"/>
        <w:rPr>
          <w:lang w:val="es-MX"/>
        </w:rPr>
      </w:pPr>
      <w:r w:rsidRPr="008921DD">
        <w:rPr>
          <w:lang w:val="es-MX"/>
        </w:rPr>
        <w:t xml:space="preserve">En algunos casos, una revisión expedita se puede realizar con que uno obtenga un aprobación rápida. </w:t>
      </w:r>
      <w:r w:rsidR="003F2436" w:rsidRPr="008921DD">
        <w:rPr>
          <w:lang w:val="es-MX"/>
        </w:rPr>
        <w:t>Pero,</w:t>
      </w:r>
      <w:r w:rsidRPr="008921DD">
        <w:rPr>
          <w:lang w:val="es-MX"/>
        </w:rPr>
        <w:t xml:space="preserve"> en cualquier caso, si tiene que realizar una aplicación, espere por la aprobación antes de que usted comience el estudio. </w:t>
      </w:r>
    </w:p>
    <w:p w14:paraId="0BF4725B" w14:textId="432B39DB" w:rsidR="009D345F" w:rsidRPr="008921DD" w:rsidRDefault="005538DB" w:rsidP="00380966">
      <w:pPr>
        <w:rPr>
          <w:u w:val="single"/>
          <w:lang w:val="es-MX"/>
        </w:rPr>
      </w:pPr>
      <w:r w:rsidRPr="008921DD">
        <w:rPr>
          <w:u w:val="single"/>
          <w:lang w:val="es-MX"/>
        </w:rPr>
        <w:t>Seguridad de los datos</w:t>
      </w:r>
    </w:p>
    <w:p w14:paraId="43A9A63C" w14:textId="76A0EDFC" w:rsidR="009D345F" w:rsidRPr="008921DD" w:rsidRDefault="005538DB" w:rsidP="005538DB">
      <w:pPr>
        <w:jc w:val="both"/>
        <w:rPr>
          <w:lang w:val="es-MX"/>
        </w:rPr>
      </w:pPr>
      <w:r w:rsidRPr="008921DD">
        <w:rPr>
          <w:lang w:val="es-MX"/>
        </w:rPr>
        <w:t xml:space="preserve">¿Como almacena y protege sus datos? Codifique los datos y encríptelos usando una llave separada. Si las formas de datos son basadas en papel, entonces tenga todo el material asegurado bajo llave de manera remota. Las plataformas electrónicas seguras como REDCap (usada en </w:t>
      </w:r>
      <w:r w:rsidR="00912BAA" w:rsidRPr="008921DD">
        <w:rPr>
          <w:lang w:val="es-MX"/>
        </w:rPr>
        <w:t xml:space="preserve">Global PaedSurg) </w:t>
      </w:r>
      <w:r w:rsidRPr="008921DD">
        <w:rPr>
          <w:lang w:val="es-MX"/>
        </w:rPr>
        <w:t>puede ser usada para almacenamiento de datos ya que es segura.</w:t>
      </w:r>
    </w:p>
    <w:p w14:paraId="7BD7B51C" w14:textId="1D4BFC5E" w:rsidR="007C0D66" w:rsidRPr="008921DD" w:rsidRDefault="007C0D66" w:rsidP="00380966">
      <w:pPr>
        <w:rPr>
          <w:lang w:val="es-MX"/>
        </w:rPr>
      </w:pPr>
    </w:p>
    <w:p w14:paraId="071D6C1B" w14:textId="7FF6B014" w:rsidR="007C0D66" w:rsidRPr="008921DD" w:rsidRDefault="008D1EF0" w:rsidP="00380966">
      <w:pPr>
        <w:rPr>
          <w:lang w:val="es-MX"/>
        </w:rPr>
      </w:pPr>
      <w:r w:rsidRPr="008921DD">
        <w:rPr>
          <w:lang w:val="es-MX"/>
        </w:rPr>
        <w:t xml:space="preserve">La información a los sujetos del </w:t>
      </w:r>
      <w:r w:rsidR="003F2436" w:rsidRPr="008921DD">
        <w:rPr>
          <w:lang w:val="es-MX"/>
        </w:rPr>
        <w:t>estudio</w:t>
      </w:r>
      <w:r w:rsidRPr="008921DD">
        <w:rPr>
          <w:lang w:val="es-MX"/>
        </w:rPr>
        <w:t xml:space="preserve"> puede ser dada siguiendo los siguientes 12 pasos: </w:t>
      </w:r>
    </w:p>
    <w:p w14:paraId="08D0E309" w14:textId="4B1E1073" w:rsidR="00197F11" w:rsidRPr="008921DD" w:rsidRDefault="00A60A48" w:rsidP="00380966">
      <w:pPr>
        <w:rPr>
          <w:lang w:val="es-MX"/>
        </w:rPr>
      </w:pPr>
      <w:r w:rsidRPr="008921DD">
        <w:rPr>
          <w:rStyle w:val="tlid-translation"/>
          <w:lang w:val="es-MX"/>
        </w:rPr>
        <w:t>1. Antecedentes y objetivo - descripción del propósito del estudio</w:t>
      </w:r>
      <w:r w:rsidRPr="008921DD">
        <w:rPr>
          <w:lang w:val="es-MX"/>
        </w:rPr>
        <w:br/>
      </w:r>
      <w:r w:rsidRPr="008921DD">
        <w:rPr>
          <w:rStyle w:val="tlid-translation"/>
          <w:lang w:val="es-MX"/>
        </w:rPr>
        <w:t>2. ¿Por qué le preguntamos?: justificación de por qué esta persona o familia en particular es invitada a participar</w:t>
      </w:r>
      <w:r w:rsidRPr="008921DD">
        <w:rPr>
          <w:lang w:val="es-MX"/>
        </w:rPr>
        <w:br/>
      </w:r>
      <w:r w:rsidRPr="008921DD">
        <w:rPr>
          <w:rStyle w:val="tlid-translation"/>
          <w:lang w:val="es-MX"/>
        </w:rPr>
        <w:t>3. Detalles del estudio: cómo influirá este estudio en el estándar de atención o el seguimiento</w:t>
      </w:r>
      <w:r w:rsidRPr="008921DD">
        <w:rPr>
          <w:lang w:val="es-MX"/>
        </w:rPr>
        <w:br/>
      </w:r>
      <w:r w:rsidRPr="008921DD">
        <w:rPr>
          <w:rStyle w:val="tlid-translation"/>
          <w:lang w:val="es-MX"/>
        </w:rPr>
        <w:t>4. Estándar de cuidado actual</w:t>
      </w:r>
      <w:r w:rsidRPr="008921DD">
        <w:rPr>
          <w:lang w:val="es-MX"/>
        </w:rPr>
        <w:br/>
      </w:r>
      <w:r w:rsidRPr="008921DD">
        <w:rPr>
          <w:rStyle w:val="tlid-translation"/>
          <w:lang w:val="es-MX"/>
        </w:rPr>
        <w:t>5. Riesgos: ¿existen riesgos asociados con la investigación?</w:t>
      </w:r>
      <w:r w:rsidRPr="008921DD">
        <w:rPr>
          <w:lang w:val="es-MX"/>
        </w:rPr>
        <w:br/>
      </w:r>
      <w:r w:rsidRPr="008921DD">
        <w:rPr>
          <w:rStyle w:val="tlid-translation"/>
          <w:lang w:val="es-MX"/>
        </w:rPr>
        <w:t xml:space="preserve">6. Beneficios </w:t>
      </w:r>
      <w:r w:rsidRPr="008921DD">
        <w:rPr>
          <w:lang w:val="es-MX"/>
        </w:rPr>
        <w:br/>
      </w:r>
      <w:r w:rsidRPr="008921DD">
        <w:rPr>
          <w:rStyle w:val="tlid-translation"/>
          <w:lang w:val="es-MX"/>
        </w:rPr>
        <w:t>7. Manejo de datos: a quién pueden apelar si están preocupados por sus datos</w:t>
      </w:r>
      <w:r w:rsidRPr="008921DD">
        <w:rPr>
          <w:lang w:val="es-MX"/>
        </w:rPr>
        <w:br/>
      </w:r>
      <w:r w:rsidRPr="008921DD">
        <w:rPr>
          <w:rStyle w:val="tlid-translation"/>
          <w:lang w:val="es-MX"/>
        </w:rPr>
        <w:t>8. Información sobre los resultados del estudio: ¿se transmitirán a los participantes o solo será una publicación?</w:t>
      </w:r>
      <w:r w:rsidRPr="008921DD">
        <w:rPr>
          <w:lang w:val="es-MX"/>
        </w:rPr>
        <w:br/>
      </w:r>
      <w:r w:rsidRPr="008921DD">
        <w:rPr>
          <w:rStyle w:val="tlid-translation"/>
          <w:lang w:val="es-MX"/>
        </w:rPr>
        <w:t>9. Seguro - para cubrir lo que pase</w:t>
      </w:r>
      <w:r w:rsidRPr="008921DD">
        <w:rPr>
          <w:lang w:val="es-MX"/>
        </w:rPr>
        <w:br/>
      </w:r>
      <w:r w:rsidRPr="008921DD">
        <w:rPr>
          <w:rStyle w:val="tlid-translation"/>
          <w:lang w:val="es-MX"/>
        </w:rPr>
        <w:t>10. Voluntario y retiro: indique explícitamente que los participantes pueden optar por unirse o dejar de fumar sin necesidad de justificar por qué.</w:t>
      </w:r>
      <w:r w:rsidRPr="008921DD">
        <w:rPr>
          <w:lang w:val="es-MX"/>
        </w:rPr>
        <w:br/>
      </w:r>
      <w:r w:rsidRPr="008921DD">
        <w:rPr>
          <w:rStyle w:val="tlid-translation"/>
          <w:lang w:val="es-MX"/>
        </w:rPr>
        <w:lastRenderedPageBreak/>
        <w:t>11. Personal responsable para contactar si necesitan alguna aclaración.</w:t>
      </w:r>
      <w:r w:rsidRPr="008921DD">
        <w:rPr>
          <w:lang w:val="es-MX"/>
        </w:rPr>
        <w:br/>
      </w:r>
      <w:r w:rsidRPr="008921DD">
        <w:rPr>
          <w:rStyle w:val="tlid-translation"/>
          <w:lang w:val="es-MX"/>
        </w:rPr>
        <w:t>12. Formulario de consentimiento – acuerdo en participar</w:t>
      </w:r>
    </w:p>
    <w:p w14:paraId="3D2C42C2" w14:textId="77777777" w:rsidR="0026018D" w:rsidRDefault="0026018D" w:rsidP="0026018D">
      <w:pPr>
        <w:spacing w:line="259" w:lineRule="auto"/>
        <w:rPr>
          <w:lang w:val="es-MX"/>
        </w:rPr>
      </w:pPr>
    </w:p>
    <w:p w14:paraId="10FF5228" w14:textId="0764B2CE" w:rsidR="007C0D66" w:rsidRPr="008921DD" w:rsidRDefault="000A3781" w:rsidP="0026018D">
      <w:pPr>
        <w:spacing w:line="259" w:lineRule="auto"/>
        <w:rPr>
          <w:lang w:val="es-MX"/>
        </w:rPr>
      </w:pPr>
      <w:bookmarkStart w:id="0" w:name="_GoBack"/>
      <w:bookmarkEnd w:id="0"/>
      <w:r w:rsidRPr="008921DD">
        <w:rPr>
          <w:lang w:val="es-MX"/>
        </w:rPr>
        <w:t>Consentimiento Informado</w:t>
      </w:r>
    </w:p>
    <w:p w14:paraId="05617645" w14:textId="1DFCAD93" w:rsidR="007C0D66" w:rsidRPr="008921DD" w:rsidRDefault="000A3781" w:rsidP="00D156F2">
      <w:pPr>
        <w:pStyle w:val="ListParagraph"/>
        <w:numPr>
          <w:ilvl w:val="0"/>
          <w:numId w:val="14"/>
        </w:numPr>
        <w:rPr>
          <w:lang w:val="es-MX"/>
        </w:rPr>
      </w:pPr>
      <w:r w:rsidRPr="008921DD">
        <w:rPr>
          <w:lang w:val="es-MX"/>
        </w:rPr>
        <w:t>¿Quién debería otorgar el consentimiento? En una familia ¿debería ser la madre, el niño o ambos padres?</w:t>
      </w:r>
    </w:p>
    <w:p w14:paraId="7A10BDA8" w14:textId="25500DBB" w:rsidR="007C0D66" w:rsidRPr="008921DD" w:rsidRDefault="000A3781" w:rsidP="00D156F2">
      <w:pPr>
        <w:pStyle w:val="ListParagraph"/>
        <w:numPr>
          <w:ilvl w:val="0"/>
          <w:numId w:val="14"/>
        </w:numPr>
        <w:rPr>
          <w:lang w:val="es-MX"/>
        </w:rPr>
      </w:pPr>
      <w:r w:rsidRPr="008921DD">
        <w:rPr>
          <w:lang w:val="es-MX"/>
        </w:rPr>
        <w:t>¿</w:t>
      </w:r>
      <w:r w:rsidR="008921DD" w:rsidRPr="008921DD">
        <w:rPr>
          <w:lang w:val="es-MX"/>
        </w:rPr>
        <w:t>Cuándo</w:t>
      </w:r>
      <w:r w:rsidRPr="008921DD">
        <w:rPr>
          <w:lang w:val="es-MX"/>
        </w:rPr>
        <w:t xml:space="preserve"> obtener consentimiento informado? A veces puede ocurrir en emergencias o casos muy agudos ¿Qué hace usted en esos casos?</w:t>
      </w:r>
      <w:r w:rsidR="00D156F2" w:rsidRPr="008921DD">
        <w:rPr>
          <w:lang w:val="es-MX"/>
        </w:rPr>
        <w:t xml:space="preserve"> </w:t>
      </w:r>
    </w:p>
    <w:p w14:paraId="44B14422" w14:textId="6BE60C5B" w:rsidR="007C0D66" w:rsidRPr="008921DD" w:rsidRDefault="000A3781" w:rsidP="00D156F2">
      <w:pPr>
        <w:pStyle w:val="ListParagraph"/>
        <w:numPr>
          <w:ilvl w:val="0"/>
          <w:numId w:val="14"/>
        </w:numPr>
        <w:rPr>
          <w:lang w:val="es-MX"/>
        </w:rPr>
      </w:pPr>
      <w:r w:rsidRPr="008921DD">
        <w:rPr>
          <w:lang w:val="es-MX"/>
        </w:rPr>
        <w:t>¿Como debería obtenerse el consentimiento?</w:t>
      </w:r>
      <w:r w:rsidR="00D156F2" w:rsidRPr="008921DD">
        <w:rPr>
          <w:lang w:val="es-MX"/>
        </w:rPr>
        <w:t xml:space="preserve"> </w:t>
      </w:r>
    </w:p>
    <w:p w14:paraId="659BA77D" w14:textId="1BB24DDC" w:rsidR="007C0D66" w:rsidRPr="008921DD" w:rsidRDefault="000A3781" w:rsidP="00D156F2">
      <w:pPr>
        <w:pStyle w:val="ListParagraph"/>
        <w:numPr>
          <w:ilvl w:val="0"/>
          <w:numId w:val="14"/>
        </w:numPr>
        <w:rPr>
          <w:lang w:val="es-MX"/>
        </w:rPr>
      </w:pPr>
      <w:r w:rsidRPr="008921DD">
        <w:rPr>
          <w:lang w:val="es-MX"/>
        </w:rPr>
        <w:t xml:space="preserve">¿Como debería de grabarse / registrarse el consentimiento? </w:t>
      </w:r>
    </w:p>
    <w:p w14:paraId="4ACE1B74" w14:textId="25119276" w:rsidR="00197F11" w:rsidRPr="008921DD" w:rsidRDefault="00D55CE5" w:rsidP="00D156F2">
      <w:pPr>
        <w:pStyle w:val="ListParagraph"/>
        <w:numPr>
          <w:ilvl w:val="0"/>
          <w:numId w:val="14"/>
        </w:numPr>
        <w:rPr>
          <w:lang w:val="es-MX"/>
        </w:rPr>
      </w:pPr>
      <w:r w:rsidRPr="008921DD">
        <w:rPr>
          <w:lang w:val="es-MX"/>
        </w:rPr>
        <w:t>¿Son aceptables los incentivos? ¿Está bien dar una remuneración económica a los participantes?</w:t>
      </w:r>
    </w:p>
    <w:p w14:paraId="000AC153" w14:textId="5BB8AAD2" w:rsidR="00197F11" w:rsidRPr="008921DD" w:rsidRDefault="00197F11" w:rsidP="00380966">
      <w:pPr>
        <w:rPr>
          <w:lang w:val="es-MX"/>
        </w:rPr>
      </w:pPr>
    </w:p>
    <w:p w14:paraId="21EB4536" w14:textId="77777777" w:rsidR="00D55CE5" w:rsidRPr="008921DD" w:rsidRDefault="00D55CE5" w:rsidP="00D55CE5">
      <w:pPr>
        <w:rPr>
          <w:lang w:val="es-MX"/>
        </w:rPr>
      </w:pPr>
      <w:r w:rsidRPr="008921DD">
        <w:rPr>
          <w:lang w:val="es-MX"/>
        </w:rPr>
        <w:t>La exención del consentimiento informado puede aplicarse en los siguientes escenarios:</w:t>
      </w:r>
    </w:p>
    <w:p w14:paraId="4E2F498E" w14:textId="1DE365EB" w:rsidR="00196529" w:rsidRPr="008921DD" w:rsidRDefault="00D55CE5" w:rsidP="005665A3">
      <w:pPr>
        <w:pStyle w:val="ListParagraph"/>
        <w:numPr>
          <w:ilvl w:val="0"/>
          <w:numId w:val="15"/>
        </w:numPr>
        <w:rPr>
          <w:lang w:val="es-MX"/>
        </w:rPr>
      </w:pPr>
      <w:r w:rsidRPr="008921DD">
        <w:rPr>
          <w:rStyle w:val="tlid-translation"/>
          <w:lang w:val="es-MX"/>
        </w:rPr>
        <w:t>Cuando sea imposible contactar a los participantes, pero teniendo los datos que necesita.</w:t>
      </w:r>
    </w:p>
    <w:p w14:paraId="66F47B8B" w14:textId="4AFE9B97" w:rsidR="00196529" w:rsidRPr="008921DD" w:rsidRDefault="00D55CE5" w:rsidP="002D2510">
      <w:pPr>
        <w:pStyle w:val="ListParagraph"/>
        <w:numPr>
          <w:ilvl w:val="0"/>
          <w:numId w:val="15"/>
        </w:numPr>
        <w:rPr>
          <w:lang w:val="es-MX"/>
        </w:rPr>
      </w:pPr>
      <w:r w:rsidRPr="008921DD">
        <w:rPr>
          <w:rStyle w:val="tlid-translation"/>
          <w:lang w:val="es-MX"/>
        </w:rPr>
        <w:t>Cuando no es posible con un gran número de personas en la base de datos. Puede poner un anuncio en los periódicos nacionales para informar a los participantes sobre la investigación, dándoles la libertad de elegir continuar o excluirse del estudio</w:t>
      </w:r>
      <w:r w:rsidR="00196529" w:rsidRPr="008921DD">
        <w:rPr>
          <w:lang w:val="es-MX"/>
        </w:rPr>
        <w:t>.</w:t>
      </w:r>
    </w:p>
    <w:p w14:paraId="69A3EB61" w14:textId="77777777" w:rsidR="00254181" w:rsidRPr="008921DD" w:rsidRDefault="00254181" w:rsidP="000A3781">
      <w:pPr>
        <w:ind w:left="360"/>
        <w:rPr>
          <w:lang w:val="es-MX"/>
        </w:rPr>
      </w:pPr>
    </w:p>
    <w:p w14:paraId="5089DBB4" w14:textId="679CA662" w:rsidR="00254181" w:rsidRPr="008921DD" w:rsidRDefault="00D55CE5" w:rsidP="000A3781">
      <w:pPr>
        <w:rPr>
          <w:lang w:val="es-MX"/>
        </w:rPr>
      </w:pPr>
      <w:r w:rsidRPr="008921DD">
        <w:rPr>
          <w:lang w:val="es-MX"/>
        </w:rPr>
        <w:t>Se deben hacer consideraciones especiales en los siguientes escenarios:</w:t>
      </w:r>
      <w:r w:rsidR="00254181" w:rsidRPr="008921DD">
        <w:rPr>
          <w:lang w:val="es-MX"/>
        </w:rPr>
        <w:t xml:space="preserve"> </w:t>
      </w:r>
    </w:p>
    <w:p w14:paraId="461DB1A7" w14:textId="77777777" w:rsidR="00D55CE5" w:rsidRPr="008921DD" w:rsidRDefault="00D55CE5" w:rsidP="005665A3">
      <w:pPr>
        <w:pStyle w:val="ListParagraph"/>
        <w:numPr>
          <w:ilvl w:val="0"/>
          <w:numId w:val="15"/>
        </w:numPr>
        <w:tabs>
          <w:tab w:val="left" w:pos="7788"/>
        </w:tabs>
        <w:rPr>
          <w:rStyle w:val="tlid-translation"/>
          <w:lang w:val="es-MX"/>
        </w:rPr>
      </w:pPr>
      <w:r w:rsidRPr="008921DD">
        <w:rPr>
          <w:rStyle w:val="tlid-translation"/>
          <w:lang w:val="es-MX"/>
        </w:rPr>
        <w:t>Incompetencia, donde existe deterioro cognitivo como inconsciencia, demencia, edad temprana.</w:t>
      </w:r>
    </w:p>
    <w:p w14:paraId="567E2A75" w14:textId="7D11E720" w:rsidR="00196529" w:rsidRPr="008921DD" w:rsidRDefault="00D55CE5" w:rsidP="005665A3">
      <w:pPr>
        <w:pStyle w:val="ListParagraph"/>
        <w:numPr>
          <w:ilvl w:val="0"/>
          <w:numId w:val="15"/>
        </w:numPr>
        <w:tabs>
          <w:tab w:val="left" w:pos="7788"/>
        </w:tabs>
        <w:rPr>
          <w:lang w:val="es-MX"/>
        </w:rPr>
      </w:pPr>
      <w:r w:rsidRPr="008921DD">
        <w:rPr>
          <w:rStyle w:val="tlid-translation"/>
          <w:lang w:val="es-MX"/>
        </w:rPr>
        <w:t>Asentimiento del niño: donde el niño puede dar su consentimiento si está de acuerdo o se opone (en cualquier edad, debe respetarse su objeción a la participación en el estudio)</w:t>
      </w:r>
    </w:p>
    <w:p w14:paraId="24E8E35D" w14:textId="15673277" w:rsidR="00197F11" w:rsidRPr="008921DD" w:rsidRDefault="00197F11" w:rsidP="00380966">
      <w:pPr>
        <w:rPr>
          <w:lang w:val="es-MX"/>
        </w:rPr>
      </w:pPr>
    </w:p>
    <w:p w14:paraId="3307C43E" w14:textId="4EA9F45B" w:rsidR="00197F11" w:rsidRPr="008921DD" w:rsidRDefault="00D55CE5" w:rsidP="00380966">
      <w:pPr>
        <w:rPr>
          <w:u w:val="single"/>
          <w:lang w:val="es-MX"/>
        </w:rPr>
      </w:pPr>
      <w:r w:rsidRPr="008921DD">
        <w:rPr>
          <w:rStyle w:val="tlid-translation"/>
          <w:u w:val="single"/>
          <w:lang w:val="es-MX"/>
        </w:rPr>
        <w:t>Libre albedrío y beneficios</w:t>
      </w:r>
    </w:p>
    <w:p w14:paraId="76F59BFF" w14:textId="4DDC78EC" w:rsidR="00912BAA" w:rsidRPr="008921DD" w:rsidRDefault="00D55CE5" w:rsidP="00380966">
      <w:pPr>
        <w:rPr>
          <w:lang w:val="es-MX"/>
        </w:rPr>
      </w:pPr>
      <w:r w:rsidRPr="008921DD">
        <w:rPr>
          <w:lang w:val="es-MX"/>
        </w:rPr>
        <w:t xml:space="preserve">Aunque se dice que la participación es voluntaria, ¿es realmente voluntaria? ¿Cuánta presión está implícita en la situación? No convenza ni siga pidiendo a las personas que se unan al </w:t>
      </w:r>
      <w:r w:rsidRPr="008921DD">
        <w:rPr>
          <w:lang w:val="es-MX"/>
        </w:rPr>
        <w:lastRenderedPageBreak/>
        <w:t>estudio, esto es poco ético en extremo. En algunas situaciones, los pacientes pueden sentir que el nivel de atención que recibirán dependerá de su participación en el estudio o no. ¿Hay beneficios financieros o materiales (como mejor atención, seguimiento, atención preventiva, entrevistas con potencial terapéutico y remuneración) para alguien que participa en el estudio?</w:t>
      </w:r>
    </w:p>
    <w:p w14:paraId="2EBC38E0" w14:textId="28E3C757" w:rsidR="005665A3" w:rsidRPr="008921DD" w:rsidRDefault="00984004" w:rsidP="00380966">
      <w:pPr>
        <w:rPr>
          <w:u w:val="single"/>
          <w:lang w:val="es-MX"/>
        </w:rPr>
      </w:pPr>
      <w:r w:rsidRPr="008921DD">
        <w:rPr>
          <w:u w:val="single"/>
          <w:lang w:val="es-MX"/>
        </w:rPr>
        <w:t xml:space="preserve">Contrapeso </w:t>
      </w:r>
      <w:r w:rsidR="00F67F8C" w:rsidRPr="008921DD">
        <w:rPr>
          <w:u w:val="single"/>
          <w:lang w:val="es-MX"/>
        </w:rPr>
        <w:t xml:space="preserve">– </w:t>
      </w:r>
      <w:r w:rsidRPr="008921DD">
        <w:rPr>
          <w:u w:val="single"/>
          <w:lang w:val="es-MX"/>
        </w:rPr>
        <w:t>grupo control de tratamiento</w:t>
      </w:r>
    </w:p>
    <w:p w14:paraId="7DC73010" w14:textId="1E8EA064" w:rsidR="00197F11" w:rsidRPr="008921DD" w:rsidRDefault="00984004" w:rsidP="00380966">
      <w:pPr>
        <w:rPr>
          <w:lang w:val="es-MX"/>
        </w:rPr>
      </w:pPr>
      <w:r w:rsidRPr="008921DD">
        <w:rPr>
          <w:lang w:val="es-MX"/>
        </w:rPr>
        <w:t>Si realiza un ECA, no debe haber dudas sobre cuál de los dos brazos de tratamiento es el mejor. Si sabe que una de las modalidades de tratamiento es mucho mejor que la otra, entonces el estudio no tiene equilibrio y, por lo tanto, puede considerarse no ético. La provisión de un estándar no universal de atención a la mitad de los pacientes puede parecer ventajosa a que ningún paciente reciba nada, pero muchos consideran que estos experimentos son explotadores y poco éticos. Una mejor manera sería utilizar un enfoque de no inferioridad. En este modelo, el grupo de control recibe un tratamiento perfecto con una modificación local en cuanto a la intervención para ver si no hay diferencia con lo que se considera un estándar universal de atención.</w:t>
      </w:r>
    </w:p>
    <w:p w14:paraId="1F896467" w14:textId="191CAC99" w:rsidR="00E92C67" w:rsidRPr="008921DD" w:rsidRDefault="008921DD" w:rsidP="00380966">
      <w:pPr>
        <w:rPr>
          <w:u w:val="single"/>
          <w:lang w:val="es-MX"/>
        </w:rPr>
      </w:pPr>
      <w:r w:rsidRPr="008921DD">
        <w:rPr>
          <w:u w:val="single"/>
          <w:lang w:val="es-MX"/>
        </w:rPr>
        <w:t>Otras consideraciones de tratamiento</w:t>
      </w:r>
    </w:p>
    <w:p w14:paraId="5581ED19" w14:textId="4A5A0A00" w:rsidR="00197F11" w:rsidRPr="008921DD" w:rsidRDefault="008921DD" w:rsidP="00380966">
      <w:pPr>
        <w:rPr>
          <w:lang w:val="es-MX"/>
        </w:rPr>
      </w:pPr>
      <w:r w:rsidRPr="008921DD">
        <w:rPr>
          <w:lang w:val="es-MX"/>
        </w:rPr>
        <w:t>En un estudio en el que se mapea la enfermedad, ¿se ofrecerá tratamiento a las personas que se detecte que tienen una enfermedad después de realizarse un examen de detección? Una vez finalizado el estudio, ¿cómo trabajar con el grupo que acaba de comenzar a tener una interacción médica? ¿Los resultados de la investigación benefician a la población del estudio o corresponden a los esfuerzos recibidos de agobiar a los participantes?</w:t>
      </w:r>
    </w:p>
    <w:p w14:paraId="4961954B" w14:textId="3FA93B3C" w:rsidR="00197F11" w:rsidRPr="008921DD" w:rsidRDefault="00197F11" w:rsidP="00380966">
      <w:pPr>
        <w:rPr>
          <w:lang w:val="es-MX"/>
        </w:rPr>
      </w:pPr>
    </w:p>
    <w:p w14:paraId="5A52303B" w14:textId="1E11338F" w:rsidR="00197F11" w:rsidRPr="008921DD" w:rsidRDefault="00197F11" w:rsidP="00380966">
      <w:pPr>
        <w:rPr>
          <w:lang w:val="es-MX"/>
        </w:rPr>
      </w:pPr>
    </w:p>
    <w:p w14:paraId="14F3AC8D" w14:textId="632F4828" w:rsidR="00197F11" w:rsidRPr="008921DD" w:rsidRDefault="00197F11" w:rsidP="00380966">
      <w:pPr>
        <w:rPr>
          <w:lang w:val="es-MX"/>
        </w:rPr>
      </w:pPr>
    </w:p>
    <w:p w14:paraId="27F00372" w14:textId="77777777" w:rsidR="00197F11" w:rsidRPr="008921DD" w:rsidRDefault="00197F11" w:rsidP="00380966">
      <w:pPr>
        <w:rPr>
          <w:lang w:val="es-MX"/>
        </w:rPr>
      </w:pPr>
    </w:p>
    <w:p w14:paraId="53817150" w14:textId="27E4DBE3" w:rsidR="00380966" w:rsidRPr="008921DD" w:rsidRDefault="00380966">
      <w:pPr>
        <w:rPr>
          <w:lang w:val="es-MX"/>
        </w:rPr>
      </w:pPr>
    </w:p>
    <w:p w14:paraId="11D4546E" w14:textId="77777777" w:rsidR="00380966" w:rsidRPr="008921DD" w:rsidRDefault="00380966">
      <w:pPr>
        <w:rPr>
          <w:lang w:val="es-MX"/>
        </w:rPr>
      </w:pPr>
    </w:p>
    <w:p w14:paraId="755D1804" w14:textId="304A1D02" w:rsidR="00380966" w:rsidRPr="008921DD" w:rsidRDefault="00380966">
      <w:pPr>
        <w:rPr>
          <w:lang w:val="es-MX"/>
        </w:rPr>
      </w:pPr>
    </w:p>
    <w:sectPr w:rsidR="00380966" w:rsidRPr="008921DD">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4C46" w14:textId="77777777" w:rsidR="005404AE" w:rsidRDefault="005404AE" w:rsidP="005B166E">
      <w:pPr>
        <w:spacing w:after="0" w:line="240" w:lineRule="auto"/>
      </w:pPr>
      <w:r>
        <w:separator/>
      </w:r>
    </w:p>
  </w:endnote>
  <w:endnote w:type="continuationSeparator" w:id="0">
    <w:p w14:paraId="316F9402" w14:textId="77777777" w:rsidR="005404AE" w:rsidRDefault="005404AE" w:rsidP="005B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ItalicMT">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0015700"/>
      <w:docPartObj>
        <w:docPartGallery w:val="Page Numbers (Bottom of Page)"/>
        <w:docPartUnique/>
      </w:docPartObj>
    </w:sdtPr>
    <w:sdtEndPr>
      <w:rPr>
        <w:rStyle w:val="PageNumber"/>
      </w:rPr>
    </w:sdtEndPr>
    <w:sdtContent>
      <w:p w14:paraId="7B0D5E41" w14:textId="6F30E861" w:rsidR="00A60A48" w:rsidRDefault="00A60A48" w:rsidP="005C50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57EC34" w14:textId="77777777" w:rsidR="00A60A48" w:rsidRDefault="00A60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7988808"/>
      <w:docPartObj>
        <w:docPartGallery w:val="Page Numbers (Bottom of Page)"/>
        <w:docPartUnique/>
      </w:docPartObj>
    </w:sdtPr>
    <w:sdtEndPr>
      <w:rPr>
        <w:rStyle w:val="PageNumber"/>
      </w:rPr>
    </w:sdtEndPr>
    <w:sdtContent>
      <w:p w14:paraId="7EC3CA30" w14:textId="395F6029" w:rsidR="00A60A48" w:rsidRDefault="00A60A48" w:rsidP="005C50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D47CC7" w14:textId="77777777" w:rsidR="00A60A48" w:rsidRDefault="00A6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1E75B" w14:textId="77777777" w:rsidR="005404AE" w:rsidRDefault="005404AE" w:rsidP="005B166E">
      <w:pPr>
        <w:spacing w:after="0" w:line="240" w:lineRule="auto"/>
      </w:pPr>
      <w:r>
        <w:separator/>
      </w:r>
    </w:p>
  </w:footnote>
  <w:footnote w:type="continuationSeparator" w:id="0">
    <w:p w14:paraId="7FCDF89F" w14:textId="77777777" w:rsidR="005404AE" w:rsidRDefault="005404AE" w:rsidP="005B166E">
      <w:pPr>
        <w:spacing w:after="0" w:line="240" w:lineRule="auto"/>
      </w:pPr>
      <w:r>
        <w:continuationSeparator/>
      </w:r>
    </w:p>
  </w:footnote>
  <w:footnote w:id="1">
    <w:p w14:paraId="56BAA283" w14:textId="4D9A9BB9" w:rsidR="00A60A48" w:rsidRPr="001D0F5C" w:rsidRDefault="00A60A48">
      <w:pPr>
        <w:pStyle w:val="FootnoteText"/>
        <w:rPr>
          <w:lang w:val="es-MX"/>
        </w:rPr>
      </w:pPr>
      <w:r>
        <w:rPr>
          <w:rStyle w:val="FootnoteReference"/>
        </w:rPr>
        <w:footnoteRef/>
      </w:r>
      <w:r w:rsidRPr="001D0F5C">
        <w:rPr>
          <w:lang w:val="es-MX"/>
        </w:rPr>
        <w:t xml:space="preserve"> </w:t>
      </w:r>
      <w:r>
        <w:rPr>
          <w:lang w:val="es-MX"/>
        </w:rPr>
        <w:t xml:space="preserve">La Declaración en español puede ser accedida a través de este enlace: </w:t>
      </w:r>
      <w:hyperlink r:id="rId1" w:history="1">
        <w:r w:rsidRPr="002A49B5">
          <w:rPr>
            <w:rStyle w:val="Hyperlink"/>
            <w:lang w:val="es-MX"/>
          </w:rPr>
          <w:t>http://www.conbioetica-mexico.salud.gob.mx/descargas/pdf/Declaracion_Helsinki_Brasil.pdf</w:t>
        </w:r>
      </w:hyperlink>
    </w:p>
  </w:footnote>
  <w:footnote w:id="2">
    <w:p w14:paraId="4384F6FC" w14:textId="18F7128B" w:rsidR="00A60A48" w:rsidRDefault="00A60A48">
      <w:pPr>
        <w:pStyle w:val="FootnoteText"/>
        <w:rPr>
          <w:lang w:val="es-MX"/>
        </w:rPr>
      </w:pPr>
      <w:r>
        <w:rPr>
          <w:rStyle w:val="FootnoteReference"/>
        </w:rPr>
        <w:footnoteRef/>
      </w:r>
      <w:r w:rsidRPr="008241F5">
        <w:rPr>
          <w:lang w:val="es-MX"/>
        </w:rPr>
        <w:t xml:space="preserve"> </w:t>
      </w:r>
      <w:r>
        <w:rPr>
          <w:lang w:val="es-MX"/>
        </w:rPr>
        <w:t xml:space="preserve">El Reporte Belmont en español puede ser accedido a través de este enlace: </w:t>
      </w:r>
      <w:hyperlink r:id="rId2" w:history="1">
        <w:r w:rsidRPr="002A49B5">
          <w:rPr>
            <w:rStyle w:val="Hyperlink"/>
            <w:lang w:val="es-MX"/>
          </w:rPr>
          <w:t>http://www.conbioetica-mexico.salud.gob.mx/descargas/pdf/normatividad/normatinternacional/10._INTL_Informe_Belmont.pdf</w:t>
        </w:r>
      </w:hyperlink>
    </w:p>
    <w:p w14:paraId="6518C625" w14:textId="77777777" w:rsidR="00A60A48" w:rsidRPr="008241F5" w:rsidRDefault="00A60A48">
      <w:pPr>
        <w:pStyle w:val="FootnoteText"/>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F8A"/>
    <w:multiLevelType w:val="hybridMultilevel"/>
    <w:tmpl w:val="BD9A55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B73B4D"/>
    <w:multiLevelType w:val="hybridMultilevel"/>
    <w:tmpl w:val="FD92750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6F3B0C"/>
    <w:multiLevelType w:val="hybridMultilevel"/>
    <w:tmpl w:val="EF40FC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C571D6"/>
    <w:multiLevelType w:val="hybridMultilevel"/>
    <w:tmpl w:val="E2B27E0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6F240A"/>
    <w:multiLevelType w:val="hybridMultilevel"/>
    <w:tmpl w:val="ADD8CB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02727A"/>
    <w:multiLevelType w:val="hybridMultilevel"/>
    <w:tmpl w:val="E29AB50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15:restartNumberingAfterBreak="0">
    <w:nsid w:val="21352093"/>
    <w:multiLevelType w:val="hybridMultilevel"/>
    <w:tmpl w:val="9000FD5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1D542D"/>
    <w:multiLevelType w:val="hybridMultilevel"/>
    <w:tmpl w:val="0D2A5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ABB57DE"/>
    <w:multiLevelType w:val="hybridMultilevel"/>
    <w:tmpl w:val="2E7CA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2822786"/>
    <w:multiLevelType w:val="hybridMultilevel"/>
    <w:tmpl w:val="D3E6D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5387FEA"/>
    <w:multiLevelType w:val="hybridMultilevel"/>
    <w:tmpl w:val="1548BE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9293667"/>
    <w:multiLevelType w:val="hybridMultilevel"/>
    <w:tmpl w:val="B0D0AC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3CF50F0"/>
    <w:multiLevelType w:val="hybridMultilevel"/>
    <w:tmpl w:val="B4AE00E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15:restartNumberingAfterBreak="0">
    <w:nsid w:val="687E6701"/>
    <w:multiLevelType w:val="hybridMultilevel"/>
    <w:tmpl w:val="B3F0AF5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FA72691"/>
    <w:multiLevelType w:val="hybridMultilevel"/>
    <w:tmpl w:val="8BDC2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60B56A7"/>
    <w:multiLevelType w:val="hybridMultilevel"/>
    <w:tmpl w:val="0944D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0"/>
  </w:num>
  <w:num w:numId="5">
    <w:abstractNumId w:val="0"/>
  </w:num>
  <w:num w:numId="6">
    <w:abstractNumId w:val="11"/>
  </w:num>
  <w:num w:numId="7">
    <w:abstractNumId w:val="14"/>
  </w:num>
  <w:num w:numId="8">
    <w:abstractNumId w:val="4"/>
  </w:num>
  <w:num w:numId="9">
    <w:abstractNumId w:val="5"/>
  </w:num>
  <w:num w:numId="10">
    <w:abstractNumId w:val="12"/>
  </w:num>
  <w:num w:numId="11">
    <w:abstractNumId w:val="15"/>
  </w:num>
  <w:num w:numId="12">
    <w:abstractNumId w:val="13"/>
  </w:num>
  <w:num w:numId="13">
    <w:abstractNumId w:val="3"/>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C7"/>
    <w:rsid w:val="0005616A"/>
    <w:rsid w:val="000A3781"/>
    <w:rsid w:val="000B7DB6"/>
    <w:rsid w:val="00196529"/>
    <w:rsid w:val="00197F11"/>
    <w:rsid w:val="001D0F5C"/>
    <w:rsid w:val="00214094"/>
    <w:rsid w:val="00251A39"/>
    <w:rsid w:val="00254181"/>
    <w:rsid w:val="0026018D"/>
    <w:rsid w:val="002A3808"/>
    <w:rsid w:val="002B66FE"/>
    <w:rsid w:val="002D0E0A"/>
    <w:rsid w:val="002D16A9"/>
    <w:rsid w:val="002D2510"/>
    <w:rsid w:val="002F39A9"/>
    <w:rsid w:val="00300C9B"/>
    <w:rsid w:val="00330E90"/>
    <w:rsid w:val="00380966"/>
    <w:rsid w:val="00384611"/>
    <w:rsid w:val="003A0393"/>
    <w:rsid w:val="003A1190"/>
    <w:rsid w:val="003E4F5F"/>
    <w:rsid w:val="003F2436"/>
    <w:rsid w:val="003F69EB"/>
    <w:rsid w:val="00442C21"/>
    <w:rsid w:val="004520C7"/>
    <w:rsid w:val="00464B4B"/>
    <w:rsid w:val="00482367"/>
    <w:rsid w:val="004B290A"/>
    <w:rsid w:val="004E0966"/>
    <w:rsid w:val="005255D0"/>
    <w:rsid w:val="005404AE"/>
    <w:rsid w:val="005538DB"/>
    <w:rsid w:val="005665A3"/>
    <w:rsid w:val="00587588"/>
    <w:rsid w:val="00597054"/>
    <w:rsid w:val="00597FC3"/>
    <w:rsid w:val="005B166E"/>
    <w:rsid w:val="005C5028"/>
    <w:rsid w:val="005E0C1B"/>
    <w:rsid w:val="005E1AC3"/>
    <w:rsid w:val="00660B2A"/>
    <w:rsid w:val="00696CB9"/>
    <w:rsid w:val="006E77CD"/>
    <w:rsid w:val="006F7FD1"/>
    <w:rsid w:val="00730494"/>
    <w:rsid w:val="007C0D66"/>
    <w:rsid w:val="007C60EA"/>
    <w:rsid w:val="007D0100"/>
    <w:rsid w:val="007D016D"/>
    <w:rsid w:val="00803170"/>
    <w:rsid w:val="008241F5"/>
    <w:rsid w:val="00834F00"/>
    <w:rsid w:val="008429F3"/>
    <w:rsid w:val="00850CA4"/>
    <w:rsid w:val="008702AC"/>
    <w:rsid w:val="00881ADE"/>
    <w:rsid w:val="008921DD"/>
    <w:rsid w:val="008A42B5"/>
    <w:rsid w:val="008D1EF0"/>
    <w:rsid w:val="00912BAA"/>
    <w:rsid w:val="00944F90"/>
    <w:rsid w:val="00984004"/>
    <w:rsid w:val="009D1CEE"/>
    <w:rsid w:val="009D345F"/>
    <w:rsid w:val="009D3740"/>
    <w:rsid w:val="009D3914"/>
    <w:rsid w:val="009D77AB"/>
    <w:rsid w:val="00A04472"/>
    <w:rsid w:val="00A60A48"/>
    <w:rsid w:val="00AC3201"/>
    <w:rsid w:val="00AE4A95"/>
    <w:rsid w:val="00B1148F"/>
    <w:rsid w:val="00B44914"/>
    <w:rsid w:val="00BB78C7"/>
    <w:rsid w:val="00C52371"/>
    <w:rsid w:val="00C634D8"/>
    <w:rsid w:val="00C84DFA"/>
    <w:rsid w:val="00CA7447"/>
    <w:rsid w:val="00CE4033"/>
    <w:rsid w:val="00D156F2"/>
    <w:rsid w:val="00D55CE5"/>
    <w:rsid w:val="00DB4B63"/>
    <w:rsid w:val="00E05A32"/>
    <w:rsid w:val="00E664C3"/>
    <w:rsid w:val="00E67634"/>
    <w:rsid w:val="00E71DDD"/>
    <w:rsid w:val="00E92C67"/>
    <w:rsid w:val="00EA04AE"/>
    <w:rsid w:val="00EC7DC8"/>
    <w:rsid w:val="00EE06FC"/>
    <w:rsid w:val="00F077D0"/>
    <w:rsid w:val="00F53BC9"/>
    <w:rsid w:val="00F67F8C"/>
    <w:rsid w:val="00FB043A"/>
    <w:rsid w:val="00FD24A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4B30A"/>
  <w15:docId w15:val="{1E58874F-6E33-456E-8286-572AF447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914"/>
    <w:pPr>
      <w:spacing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7D0100"/>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100"/>
    <w:rPr>
      <w:rFonts w:ascii="Times New Roman" w:eastAsiaTheme="majorEastAsia" w:hAnsi="Times New Roman" w:cstheme="majorBidi"/>
      <w:b/>
      <w:sz w:val="32"/>
      <w:szCs w:val="32"/>
      <w:lang w:val="en-US"/>
    </w:rPr>
  </w:style>
  <w:style w:type="paragraph" w:styleId="Title">
    <w:name w:val="Title"/>
    <w:basedOn w:val="Normal"/>
    <w:next w:val="Normal"/>
    <w:link w:val="TitleChar"/>
    <w:autoRedefine/>
    <w:uiPriority w:val="10"/>
    <w:qFormat/>
    <w:rsid w:val="007D010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D0100"/>
    <w:rPr>
      <w:rFonts w:ascii="Times New Roman" w:eastAsiaTheme="majorEastAsia" w:hAnsi="Times New Roman" w:cstheme="majorBidi"/>
      <w:spacing w:val="-10"/>
      <w:kern w:val="28"/>
      <w:sz w:val="56"/>
      <w:szCs w:val="56"/>
      <w:lang w:val="en-US"/>
    </w:rPr>
  </w:style>
  <w:style w:type="paragraph" w:styleId="Subtitle">
    <w:name w:val="Subtitle"/>
    <w:basedOn w:val="Normal"/>
    <w:next w:val="Normal"/>
    <w:link w:val="SubtitleChar"/>
    <w:autoRedefine/>
    <w:uiPriority w:val="11"/>
    <w:qFormat/>
    <w:rsid w:val="007D0100"/>
    <w:pPr>
      <w:numPr>
        <w:ilvl w:val="1"/>
      </w:numPr>
    </w:pPr>
    <w:rPr>
      <w:rFonts w:eastAsiaTheme="minorEastAsia"/>
      <w:i/>
      <w:spacing w:val="15"/>
      <w:sz w:val="36"/>
      <w:u w:val="single"/>
    </w:rPr>
  </w:style>
  <w:style w:type="character" w:customStyle="1" w:styleId="SubtitleChar">
    <w:name w:val="Subtitle Char"/>
    <w:basedOn w:val="DefaultParagraphFont"/>
    <w:link w:val="Subtitle"/>
    <w:uiPriority w:val="11"/>
    <w:rsid w:val="007D0100"/>
    <w:rPr>
      <w:rFonts w:ascii="Times New Roman" w:eastAsiaTheme="minorEastAsia" w:hAnsi="Times New Roman"/>
      <w:i/>
      <w:spacing w:val="15"/>
      <w:sz w:val="36"/>
      <w:u w:val="single"/>
      <w:lang w:val="en-US"/>
    </w:rPr>
  </w:style>
  <w:style w:type="paragraph" w:styleId="ListParagraph">
    <w:name w:val="List Paragraph"/>
    <w:basedOn w:val="Normal"/>
    <w:uiPriority w:val="34"/>
    <w:qFormat/>
    <w:rsid w:val="00380966"/>
    <w:pPr>
      <w:ind w:left="720"/>
      <w:contextualSpacing/>
    </w:pPr>
  </w:style>
  <w:style w:type="character" w:customStyle="1" w:styleId="fontstyle01">
    <w:name w:val="fontstyle01"/>
    <w:basedOn w:val="DefaultParagraphFont"/>
    <w:rsid w:val="00482367"/>
    <w:rPr>
      <w:rFonts w:ascii="ArialMT" w:hAnsi="ArialMT" w:hint="default"/>
      <w:b w:val="0"/>
      <w:bCs w:val="0"/>
      <w:i w:val="0"/>
      <w:iCs w:val="0"/>
      <w:color w:val="333399"/>
      <w:sz w:val="44"/>
      <w:szCs w:val="44"/>
    </w:rPr>
  </w:style>
  <w:style w:type="character" w:styleId="Hyperlink">
    <w:name w:val="Hyperlink"/>
    <w:basedOn w:val="DefaultParagraphFont"/>
    <w:uiPriority w:val="99"/>
    <w:unhideWhenUsed/>
    <w:rsid w:val="00482367"/>
    <w:rPr>
      <w:color w:val="0563C1" w:themeColor="hyperlink"/>
      <w:u w:val="single"/>
    </w:rPr>
  </w:style>
  <w:style w:type="character" w:customStyle="1" w:styleId="UnresolvedMention1">
    <w:name w:val="Unresolved Mention1"/>
    <w:basedOn w:val="DefaultParagraphFont"/>
    <w:uiPriority w:val="99"/>
    <w:semiHidden/>
    <w:unhideWhenUsed/>
    <w:rsid w:val="00482367"/>
    <w:rPr>
      <w:color w:val="605E5C"/>
      <w:shd w:val="clear" w:color="auto" w:fill="E1DFDD"/>
    </w:rPr>
  </w:style>
  <w:style w:type="character" w:customStyle="1" w:styleId="fontstyle21">
    <w:name w:val="fontstyle21"/>
    <w:basedOn w:val="DefaultParagraphFont"/>
    <w:rsid w:val="00197F11"/>
    <w:rPr>
      <w:rFonts w:ascii="Helvetica" w:hAnsi="Helvetica" w:hint="default"/>
      <w:b w:val="0"/>
      <w:bCs w:val="0"/>
      <w:i w:val="0"/>
      <w:iCs w:val="0"/>
      <w:color w:val="000000"/>
      <w:sz w:val="44"/>
      <w:szCs w:val="44"/>
    </w:rPr>
  </w:style>
  <w:style w:type="character" w:customStyle="1" w:styleId="fontstyle31">
    <w:name w:val="fontstyle31"/>
    <w:basedOn w:val="DefaultParagraphFont"/>
    <w:rsid w:val="00197F11"/>
    <w:rPr>
      <w:rFonts w:ascii="Arial-ItalicMT" w:hAnsi="Arial-ItalicMT" w:hint="default"/>
      <w:b w:val="0"/>
      <w:bCs w:val="0"/>
      <w:i/>
      <w:iCs/>
      <w:color w:val="000000"/>
      <w:sz w:val="44"/>
      <w:szCs w:val="44"/>
    </w:rPr>
  </w:style>
  <w:style w:type="character" w:customStyle="1" w:styleId="fontstyle11">
    <w:name w:val="fontstyle11"/>
    <w:basedOn w:val="DefaultParagraphFont"/>
    <w:rsid w:val="00330E90"/>
    <w:rPr>
      <w:rFonts w:ascii="Helvetica" w:hAnsi="Helvetica" w:hint="default"/>
      <w:b w:val="0"/>
      <w:bCs w:val="0"/>
      <w:i w:val="0"/>
      <w:iCs w:val="0"/>
      <w:color w:val="000000"/>
      <w:sz w:val="44"/>
      <w:szCs w:val="44"/>
    </w:rPr>
  </w:style>
  <w:style w:type="paragraph" w:styleId="BalloonText">
    <w:name w:val="Balloon Text"/>
    <w:basedOn w:val="Normal"/>
    <w:link w:val="BalloonTextChar"/>
    <w:uiPriority w:val="99"/>
    <w:semiHidden/>
    <w:unhideWhenUsed/>
    <w:rsid w:val="002D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A9"/>
    <w:rPr>
      <w:rFonts w:ascii="Tahoma" w:hAnsi="Tahoma" w:cs="Tahoma"/>
      <w:sz w:val="16"/>
      <w:szCs w:val="16"/>
    </w:rPr>
  </w:style>
  <w:style w:type="paragraph" w:styleId="Footer">
    <w:name w:val="footer"/>
    <w:basedOn w:val="Normal"/>
    <w:link w:val="FooterChar"/>
    <w:uiPriority w:val="99"/>
    <w:unhideWhenUsed/>
    <w:rsid w:val="005B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6E"/>
    <w:rPr>
      <w:rFonts w:ascii="Times New Roman" w:hAnsi="Times New Roman"/>
      <w:sz w:val="24"/>
    </w:rPr>
  </w:style>
  <w:style w:type="character" w:styleId="PageNumber">
    <w:name w:val="page number"/>
    <w:basedOn w:val="DefaultParagraphFont"/>
    <w:uiPriority w:val="99"/>
    <w:semiHidden/>
    <w:unhideWhenUsed/>
    <w:rsid w:val="005B166E"/>
  </w:style>
  <w:style w:type="character" w:styleId="CommentReference">
    <w:name w:val="annotation reference"/>
    <w:basedOn w:val="DefaultParagraphFont"/>
    <w:uiPriority w:val="99"/>
    <w:semiHidden/>
    <w:unhideWhenUsed/>
    <w:rsid w:val="005C5028"/>
    <w:rPr>
      <w:sz w:val="18"/>
      <w:szCs w:val="18"/>
    </w:rPr>
  </w:style>
  <w:style w:type="paragraph" w:styleId="CommentText">
    <w:name w:val="annotation text"/>
    <w:basedOn w:val="Normal"/>
    <w:link w:val="CommentTextChar"/>
    <w:uiPriority w:val="99"/>
    <w:semiHidden/>
    <w:unhideWhenUsed/>
    <w:rsid w:val="005C5028"/>
    <w:pPr>
      <w:spacing w:line="240" w:lineRule="auto"/>
    </w:pPr>
    <w:rPr>
      <w:szCs w:val="24"/>
    </w:rPr>
  </w:style>
  <w:style w:type="character" w:customStyle="1" w:styleId="CommentTextChar">
    <w:name w:val="Comment Text Char"/>
    <w:basedOn w:val="DefaultParagraphFont"/>
    <w:link w:val="CommentText"/>
    <w:uiPriority w:val="99"/>
    <w:semiHidden/>
    <w:rsid w:val="005C502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C5028"/>
    <w:rPr>
      <w:b/>
      <w:bCs/>
      <w:sz w:val="20"/>
      <w:szCs w:val="20"/>
    </w:rPr>
  </w:style>
  <w:style w:type="character" w:customStyle="1" w:styleId="CommentSubjectChar">
    <w:name w:val="Comment Subject Char"/>
    <w:basedOn w:val="CommentTextChar"/>
    <w:link w:val="CommentSubject"/>
    <w:uiPriority w:val="99"/>
    <w:semiHidden/>
    <w:rsid w:val="005C5028"/>
    <w:rPr>
      <w:rFonts w:ascii="Times New Roman" w:hAnsi="Times New Roman"/>
      <w:b/>
      <w:bCs/>
      <w:sz w:val="20"/>
      <w:szCs w:val="20"/>
    </w:rPr>
  </w:style>
  <w:style w:type="paragraph" w:styleId="FootnoteText">
    <w:name w:val="footnote text"/>
    <w:basedOn w:val="Normal"/>
    <w:link w:val="FootnoteTextChar"/>
    <w:uiPriority w:val="99"/>
    <w:semiHidden/>
    <w:unhideWhenUsed/>
    <w:rsid w:val="001D0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F5C"/>
    <w:rPr>
      <w:rFonts w:ascii="Times New Roman" w:hAnsi="Times New Roman"/>
      <w:sz w:val="20"/>
      <w:szCs w:val="20"/>
    </w:rPr>
  </w:style>
  <w:style w:type="character" w:styleId="FootnoteReference">
    <w:name w:val="footnote reference"/>
    <w:basedOn w:val="DefaultParagraphFont"/>
    <w:uiPriority w:val="99"/>
    <w:semiHidden/>
    <w:unhideWhenUsed/>
    <w:rsid w:val="001D0F5C"/>
    <w:rPr>
      <w:vertAlign w:val="superscript"/>
    </w:rPr>
  </w:style>
  <w:style w:type="character" w:styleId="UnresolvedMention">
    <w:name w:val="Unresolved Mention"/>
    <w:basedOn w:val="DefaultParagraphFont"/>
    <w:uiPriority w:val="99"/>
    <w:semiHidden/>
    <w:unhideWhenUsed/>
    <w:rsid w:val="001D0F5C"/>
    <w:rPr>
      <w:color w:val="605E5C"/>
      <w:shd w:val="clear" w:color="auto" w:fill="E1DFDD"/>
    </w:rPr>
  </w:style>
  <w:style w:type="character" w:customStyle="1" w:styleId="tlid-translation">
    <w:name w:val="tlid-translation"/>
    <w:basedOn w:val="DefaultParagraphFont"/>
    <w:rsid w:val="00A60A48"/>
  </w:style>
  <w:style w:type="paragraph" w:styleId="Revision">
    <w:name w:val="Revision"/>
    <w:hidden/>
    <w:uiPriority w:val="99"/>
    <w:semiHidden/>
    <w:rsid w:val="003F243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857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008">
          <w:marLeft w:val="0"/>
          <w:marRight w:val="0"/>
          <w:marTop w:val="0"/>
          <w:marBottom w:val="0"/>
          <w:divBdr>
            <w:top w:val="none" w:sz="0" w:space="0" w:color="auto"/>
            <w:left w:val="none" w:sz="0" w:space="0" w:color="auto"/>
            <w:bottom w:val="none" w:sz="0" w:space="0" w:color="auto"/>
            <w:right w:val="none" w:sz="0" w:space="0" w:color="auto"/>
          </w:divBdr>
          <w:divsChild>
            <w:div w:id="1697653360">
              <w:marLeft w:val="0"/>
              <w:marRight w:val="0"/>
              <w:marTop w:val="0"/>
              <w:marBottom w:val="0"/>
              <w:divBdr>
                <w:top w:val="none" w:sz="0" w:space="0" w:color="auto"/>
                <w:left w:val="none" w:sz="0" w:space="0" w:color="auto"/>
                <w:bottom w:val="none" w:sz="0" w:space="0" w:color="auto"/>
                <w:right w:val="none" w:sz="0" w:space="0" w:color="auto"/>
              </w:divBdr>
              <w:divsChild>
                <w:div w:id="38238666">
                  <w:marLeft w:val="0"/>
                  <w:marRight w:val="0"/>
                  <w:marTop w:val="0"/>
                  <w:marBottom w:val="0"/>
                  <w:divBdr>
                    <w:top w:val="none" w:sz="0" w:space="0" w:color="auto"/>
                    <w:left w:val="none" w:sz="0" w:space="0" w:color="auto"/>
                    <w:bottom w:val="none" w:sz="0" w:space="0" w:color="auto"/>
                    <w:right w:val="none" w:sz="0" w:space="0" w:color="auto"/>
                  </w:divBdr>
                  <w:divsChild>
                    <w:div w:id="738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7674">
          <w:marLeft w:val="0"/>
          <w:marRight w:val="0"/>
          <w:marTop w:val="0"/>
          <w:marBottom w:val="0"/>
          <w:divBdr>
            <w:top w:val="none" w:sz="0" w:space="0" w:color="auto"/>
            <w:left w:val="none" w:sz="0" w:space="0" w:color="auto"/>
            <w:bottom w:val="none" w:sz="0" w:space="0" w:color="auto"/>
            <w:right w:val="none" w:sz="0" w:space="0" w:color="auto"/>
          </w:divBdr>
          <w:divsChild>
            <w:div w:id="1397168260">
              <w:marLeft w:val="0"/>
              <w:marRight w:val="0"/>
              <w:marTop w:val="0"/>
              <w:marBottom w:val="0"/>
              <w:divBdr>
                <w:top w:val="none" w:sz="0" w:space="0" w:color="auto"/>
                <w:left w:val="none" w:sz="0" w:space="0" w:color="auto"/>
                <w:bottom w:val="none" w:sz="0" w:space="0" w:color="auto"/>
                <w:right w:val="none" w:sz="0" w:space="0" w:color="auto"/>
              </w:divBdr>
            </w:div>
          </w:divsChild>
        </w:div>
        <w:div w:id="61232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hs.gov/ohrp/regulations-and-policy/belmont-report/index.html" TargetMode="External"/><Relationship Id="rId4" Type="http://schemas.openxmlformats.org/officeDocument/2006/relationships/settings" Target="settings.xml"/><Relationship Id="rId9" Type="http://schemas.openxmlformats.org/officeDocument/2006/relationships/hyperlink" Target="https://www.wma.net/policies-post/wma-declaration-of-helinskiethical-principles-for-medical-research-involving-humansubjec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nbioetica-mexico.salud.gob.mx/descargas/pdf/normatividad/normatinternacional/10._INTL_Informe_Belmont.pdf" TargetMode="External"/><Relationship Id="rId1" Type="http://schemas.openxmlformats.org/officeDocument/2006/relationships/hyperlink" Target="http://www.conbioetica-mexico.salud.gob.mx/descargas/pdf/Declaracion_Helsinki_Bras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515B-F5EB-8C48-8DEF-8105D1EC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Sodumisa Ngwenya</dc:creator>
  <cp:lastModifiedBy>Naomi Wright</cp:lastModifiedBy>
  <cp:revision>2</cp:revision>
  <dcterms:created xsi:type="dcterms:W3CDTF">2019-02-22T00:12:00Z</dcterms:created>
  <dcterms:modified xsi:type="dcterms:W3CDTF">2019-02-22T00:12:00Z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-454281737</vt:i4>
  </property>
</Properties>
</file>